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180"/>
        <w:ind w:left="200" w:right="370" w:firstLine="0"/>
        <w:jc w:val="center"/>
        <w:rPr>
          <w:rFonts w:ascii="宋体" w:eastAsia="宋体" w:hint="eastAsia"/>
          <w:sz w:val="72"/>
        </w:rPr>
      </w:pPr>
      <w:r>
        <w:rPr>
          <w:rFonts w:ascii="宋体" w:eastAsia="宋体" w:hint="eastAsia"/>
          <w:color w:val="FF0000"/>
          <w:sz w:val="72"/>
        </w:rPr>
        <w:t>河北省市场监督管理局文件</w:t>
      </w:r>
    </w:p>
    <w:p>
      <w:pPr>
        <w:pStyle w:val="BodyText"/>
        <w:spacing w:before="6"/>
        <w:rPr>
          <w:rFonts w:ascii="宋体"/>
          <w:sz w:val="109"/>
        </w:rPr>
      </w:pPr>
    </w:p>
    <w:p>
      <w:pPr>
        <w:pStyle w:val="BodyText"/>
        <w:ind w:left="200" w:right="370"/>
        <w:jc w:val="center"/>
      </w:pPr>
      <w:r>
        <w:rPr/>
        <w:pict>
          <v:line style="position:absolute;mso-position-horizontal-relative:page;mso-position-vertical-relative:paragraph;z-index:-251658240;mso-wrap-distance-left:0;mso-wrap-distance-right:0" from="81.599998pt,23.15pt" to="523.799998pt,23.15pt" stroked="true" strokeweight="1.5pt" strokecolor="#ff0000">
            <v:stroke dashstyle="solid"/>
            <w10:wrap type="topAndBottom"/>
          </v:line>
        </w:pict>
      </w:r>
      <w:r>
        <w:rPr/>
        <w:t>冀市监规〔2022〕8 号</w:t>
      </w:r>
    </w:p>
    <w:p>
      <w:pPr>
        <w:pStyle w:val="BodyText"/>
      </w:pPr>
    </w:p>
    <w:p>
      <w:pPr>
        <w:pStyle w:val="BodyText"/>
        <w:spacing w:before="4"/>
        <w:rPr>
          <w:sz w:val="47"/>
        </w:rPr>
      </w:pPr>
    </w:p>
    <w:p>
      <w:pPr>
        <w:pStyle w:val="Heading1"/>
        <w:ind w:firstLine="0"/>
      </w:pPr>
      <w:r>
        <w:rPr/>
        <w:t>河北省市场监督管理局</w:t>
      </w:r>
    </w:p>
    <w:p>
      <w:pPr>
        <w:spacing w:line="290" w:lineRule="auto" w:before="117"/>
        <w:ind w:left="1268" w:right="1433" w:hanging="5"/>
        <w:jc w:val="center"/>
        <w:rPr>
          <w:rFonts w:ascii="宋体" w:eastAsia="宋体" w:hint="eastAsia"/>
          <w:sz w:val="44"/>
        </w:rPr>
      </w:pPr>
      <w:r>
        <w:rPr>
          <w:rFonts w:ascii="宋体" w:eastAsia="宋体" w:hint="eastAsia"/>
          <w:spacing w:val="-5"/>
          <w:sz w:val="44"/>
        </w:rPr>
        <w:t>关于印发《河北省市场监督管理 </w:t>
      </w:r>
      <w:r>
        <w:rPr>
          <w:rFonts w:ascii="宋体" w:eastAsia="宋体" w:hint="eastAsia"/>
          <w:spacing w:val="-5"/>
          <w:w w:val="95"/>
          <w:sz w:val="44"/>
        </w:rPr>
        <w:t>行政处罚裁量权适用规则》的通知</w:t>
      </w:r>
    </w:p>
    <w:p>
      <w:pPr>
        <w:pStyle w:val="BodyText"/>
        <w:spacing w:before="2"/>
        <w:rPr>
          <w:rFonts w:ascii="宋体"/>
          <w:sz w:val="49"/>
        </w:rPr>
      </w:pPr>
    </w:p>
    <w:p>
      <w:pPr>
        <w:pStyle w:val="BodyText"/>
        <w:spacing w:line="338" w:lineRule="auto" w:before="1"/>
        <w:ind w:left="106" w:right="104"/>
      </w:pPr>
      <w:r>
        <w:rPr>
          <w:spacing w:val="-22"/>
          <w:w w:val="95"/>
        </w:rPr>
        <w:t>各市</w:t>
      </w:r>
      <w:r>
        <w:rPr>
          <w:spacing w:val="-3"/>
          <w:w w:val="95"/>
        </w:rPr>
        <w:t>（</w:t>
      </w:r>
      <w:r>
        <w:rPr>
          <w:spacing w:val="-9"/>
          <w:w w:val="95"/>
        </w:rPr>
        <w:t>含定州、辛集市</w:t>
      </w:r>
      <w:r>
        <w:rPr>
          <w:spacing w:val="-41"/>
          <w:w w:val="95"/>
        </w:rPr>
        <w:t>）</w:t>
      </w:r>
      <w:r>
        <w:rPr>
          <w:spacing w:val="-8"/>
          <w:w w:val="95"/>
        </w:rPr>
        <w:t>市场监督管理局，雄安新区综合执法局， </w:t>
      </w:r>
      <w:r>
        <w:rPr>
          <w:spacing w:val="-5"/>
        </w:rPr>
        <w:t>省药品监督管理局，省局机关各处室：</w:t>
      </w:r>
    </w:p>
    <w:p>
      <w:pPr>
        <w:pStyle w:val="BodyText"/>
        <w:ind w:left="737"/>
      </w:pPr>
      <w:r>
        <w:rPr>
          <w:spacing w:val="-3"/>
          <w:w w:val="95"/>
        </w:rPr>
        <w:t>为规范全省市场监督管理行政处罚行为，按照国务院办公厅</w:t>
      </w:r>
    </w:p>
    <w:p>
      <w:pPr>
        <w:pStyle w:val="BodyText"/>
        <w:spacing w:line="338" w:lineRule="auto" w:before="169"/>
        <w:ind w:left="106" w:right="260"/>
        <w:jc w:val="both"/>
      </w:pPr>
      <w:r>
        <w:rPr>
          <w:spacing w:val="-3"/>
          <w:w w:val="95"/>
        </w:rPr>
        <w:t>《关于进一步规范行政裁量权基准制定和管理工作的意见</w:t>
      </w:r>
      <w:r>
        <w:rPr>
          <w:spacing w:val="-317"/>
          <w:w w:val="95"/>
        </w:rPr>
        <w:t>》</w:t>
      </w:r>
      <w:r>
        <w:rPr>
          <w:spacing w:val="-3"/>
          <w:w w:val="95"/>
        </w:rPr>
        <w:t>（</w:t>
      </w:r>
      <w:r>
        <w:rPr>
          <w:spacing w:val="-2"/>
          <w:w w:val="95"/>
        </w:rPr>
        <w:t>国办</w:t>
      </w:r>
      <w:r>
        <w:rPr>
          <w:w w:val="99"/>
        </w:rPr>
        <w:t>发</w:t>
      </w:r>
      <w:r>
        <w:rPr>
          <w:spacing w:val="2"/>
          <w:w w:val="99"/>
        </w:rPr>
        <w:t>〔</w:t>
      </w:r>
      <w:r>
        <w:rPr>
          <w:spacing w:val="-2"/>
          <w:w w:val="99"/>
        </w:rPr>
        <w:t>2022</w:t>
      </w:r>
      <w:r>
        <w:rPr>
          <w:spacing w:val="2"/>
          <w:w w:val="99"/>
        </w:rPr>
        <w:t>〕</w:t>
      </w:r>
      <w:r>
        <w:rPr>
          <w:spacing w:val="-2"/>
          <w:w w:val="99"/>
        </w:rPr>
        <w:t>2</w:t>
      </w:r>
      <w:r>
        <w:rPr>
          <w:w w:val="99"/>
        </w:rPr>
        <w:t>7</w:t>
      </w:r>
      <w:r>
        <w:rPr>
          <w:spacing w:val="-80"/>
        </w:rPr>
        <w:t> </w:t>
      </w:r>
      <w:r>
        <w:rPr>
          <w:spacing w:val="2"/>
          <w:w w:val="99"/>
        </w:rPr>
        <w:t>号</w:t>
      </w:r>
      <w:r>
        <w:rPr>
          <w:spacing w:val="-159"/>
          <w:w w:val="99"/>
        </w:rPr>
        <w:t>）</w:t>
      </w:r>
      <w:r>
        <w:rPr>
          <w:w w:val="99"/>
        </w:rPr>
        <w:t>，市场监管总局《关于规范市场监督管理行政</w:t>
      </w:r>
      <w:r>
        <w:rPr/>
        <w:t>处罚裁量权的指导意见》(国市监法规〔2022〕2</w:t>
      </w:r>
      <w:r>
        <w:rPr>
          <w:spacing w:val="-14"/>
        </w:rPr>
        <w:t> 号)要求，结合</w:t>
      </w:r>
      <w:r>
        <w:rPr>
          <w:spacing w:val="-3"/>
          <w:w w:val="95"/>
        </w:rPr>
        <w:t>市场监督管理法律法规规章立改废情况，省局对《河北省市场监 </w:t>
      </w:r>
      <w:r>
        <w:rPr>
          <w:spacing w:val="-3"/>
        </w:rPr>
        <w:t>督</w:t>
      </w:r>
      <w:r>
        <w:rPr>
          <w:spacing w:val="-7"/>
        </w:rPr>
        <w:t>管理行政处罚裁量权适用规则》进行了修订，已经 </w:t>
      </w:r>
      <w:r>
        <w:rPr/>
        <w:t>12</w:t>
      </w:r>
      <w:r>
        <w:rPr>
          <w:spacing w:val="-61"/>
        </w:rPr>
        <w:t> 月 </w:t>
      </w:r>
      <w:r>
        <w:rPr/>
        <w:t>26</w:t>
      </w:r>
      <w:r>
        <w:rPr>
          <w:spacing w:val="-44"/>
        </w:rPr>
        <w:t> 日</w:t>
      </w:r>
    </w:p>
    <w:p>
      <w:pPr>
        <w:spacing w:after="0" w:line="338" w:lineRule="auto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1074" w:top="1580" w:bottom="1260" w:left="1480" w:right="11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338" w:lineRule="auto" w:before="54"/>
        <w:ind w:left="106" w:right="262"/>
        <w:jc w:val="both"/>
      </w:pPr>
      <w:r>
        <w:rPr/>
        <w:drawing>
          <wp:anchor distT="0" distB="0" distL="0" distR="0" allowOverlap="1" layoutInCell="1" locked="0" behindDoc="1" simplePos="0" relativeHeight="251432960">
            <wp:simplePos x="0" y="0"/>
            <wp:positionH relativeFrom="page">
              <wp:posOffset>4187825</wp:posOffset>
            </wp:positionH>
            <wp:positionV relativeFrom="paragraph">
              <wp:posOffset>1122172</wp:posOffset>
            </wp:positionV>
            <wp:extent cx="1511935" cy="151193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1"/>
          <w:w w:val="95"/>
        </w:rPr>
        <w:t>省局党组会议审议通过，现予以印发，请遵照执行</w:t>
      </w:r>
      <w:r>
        <w:rPr>
          <w:spacing w:val="-35"/>
          <w:w w:val="95"/>
        </w:rPr>
        <w:t>。《河北省市场  </w:t>
      </w:r>
      <w:r>
        <w:rPr>
          <w:spacing w:val="-3"/>
          <w:w w:val="95"/>
        </w:rPr>
        <w:t>监督管理局关于印发〈河北省市场监督管理行政处罚裁量权适用 </w:t>
      </w:r>
      <w:r>
        <w:rPr>
          <w:spacing w:val="-28"/>
        </w:rPr>
        <w:t>规则〉的通知》</w:t>
      </w:r>
      <w:r>
        <w:rPr>
          <w:spacing w:val="-3"/>
        </w:rPr>
        <w:t>（</w:t>
      </w:r>
      <w:r>
        <w:rPr>
          <w:spacing w:val="-5"/>
        </w:rPr>
        <w:t>冀市监规〔</w:t>
      </w:r>
      <w:r>
        <w:rPr/>
        <w:t>2021</w:t>
      </w:r>
      <w:r>
        <w:rPr>
          <w:spacing w:val="-5"/>
        </w:rPr>
        <w:t>〕</w:t>
      </w:r>
      <w:r>
        <w:rPr/>
        <w:t>10</w:t>
      </w:r>
      <w:r>
        <w:rPr>
          <w:spacing w:val="-44"/>
        </w:rPr>
        <w:t> 号</w:t>
      </w:r>
      <w:r>
        <w:rPr>
          <w:spacing w:val="-5"/>
        </w:rPr>
        <w:t>）</w:t>
      </w:r>
      <w:r>
        <w:rPr>
          <w:spacing w:val="-4"/>
        </w:rPr>
        <w:t>同时废止。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338" w:lineRule="auto" w:before="1"/>
        <w:ind w:left="5093" w:right="1388" w:hanging="401"/>
      </w:pPr>
      <w:r>
        <w:rPr>
          <w:spacing w:val="-6"/>
        </w:rPr>
        <w:t>河北省市场监督管理局</w:t>
      </w:r>
      <w:r>
        <w:rPr/>
        <w:t>2022</w:t>
      </w:r>
      <w:r>
        <w:rPr>
          <w:spacing w:val="-58"/>
        </w:rPr>
        <w:t> 年 </w:t>
      </w:r>
      <w:r>
        <w:rPr/>
        <w:t>12</w:t>
      </w:r>
      <w:r>
        <w:rPr>
          <w:spacing w:val="-58"/>
        </w:rPr>
        <w:t> 月 </w:t>
      </w:r>
      <w:r>
        <w:rPr/>
        <w:t>28</w:t>
      </w:r>
      <w:r>
        <w:rPr>
          <w:spacing w:val="-42"/>
        </w:rPr>
        <w:t> 日</w:t>
      </w:r>
    </w:p>
    <w:p>
      <w:pPr>
        <w:pStyle w:val="BodyText"/>
        <w:ind w:left="737"/>
      </w:pPr>
      <w:r>
        <w:rPr/>
        <w:t>（信息公开类型：主动公开）</w:t>
      </w:r>
    </w:p>
    <w:p>
      <w:pPr>
        <w:spacing w:after="0"/>
        <w:sectPr>
          <w:pgSz w:w="11910" w:h="16840"/>
          <w:pgMar w:header="0" w:footer="1074" w:top="1580" w:bottom="1260" w:left="148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90" w:lineRule="auto" w:before="192"/>
        <w:ind w:left="2136" w:right="2309" w:firstLine="434"/>
        <w:jc w:val="left"/>
      </w:pPr>
      <w:r>
        <w:rPr>
          <w:spacing w:val="-5"/>
        </w:rPr>
        <w:t>河北省市场监督管理 </w:t>
      </w:r>
      <w:r>
        <w:rPr>
          <w:spacing w:val="-6"/>
        </w:rPr>
        <w:t>行政处罚裁量权适用规则</w:t>
      </w:r>
    </w:p>
    <w:p>
      <w:pPr>
        <w:pStyle w:val="BodyText"/>
        <w:spacing w:before="3"/>
        <w:rPr>
          <w:rFonts w:ascii="宋体"/>
          <w:sz w:val="57"/>
        </w:rPr>
      </w:pPr>
    </w:p>
    <w:p>
      <w:pPr>
        <w:pStyle w:val="BodyText"/>
        <w:spacing w:line="338" w:lineRule="auto"/>
        <w:ind w:left="106" w:right="104" w:firstLine="631"/>
        <w:jc w:val="both"/>
      </w:pPr>
      <w:r>
        <w:rPr>
          <w:rFonts w:ascii="黑体" w:eastAsia="黑体" w:hint="eastAsia"/>
        </w:rPr>
        <w:t>第一条 </w:t>
      </w:r>
      <w:r>
        <w:rPr/>
        <w:t>为规范全省市场监督管理行政处罚行为，保障全省各级市场监督管理机关依法行使行政处罚裁量权，保护自然人、</w:t>
      </w:r>
      <w:r>
        <w:rPr>
          <w:w w:val="95"/>
        </w:rPr>
        <w:t>法人和其他组织的合法权益，根据《中华人民共和国行政处罚法》</w:t>
      </w:r>
    </w:p>
    <w:p>
      <w:pPr>
        <w:pStyle w:val="BodyText"/>
        <w:spacing w:line="338" w:lineRule="auto" w:before="1"/>
        <w:ind w:left="106" w:right="260"/>
        <w:jc w:val="both"/>
      </w:pPr>
      <w:r>
        <w:rPr>
          <w:spacing w:val="-3"/>
          <w:w w:val="95"/>
        </w:rPr>
        <w:t>《国务院办公厅关于进一步规范行政裁量权基准制定和管理工作 </w:t>
      </w:r>
      <w:r>
        <w:rPr>
          <w:spacing w:val="-10"/>
        </w:rPr>
        <w:t>的意见》</w:t>
      </w:r>
      <w:r>
        <w:rPr>
          <w:spacing w:val="-3"/>
        </w:rPr>
        <w:t>（</w:t>
      </w:r>
      <w:r>
        <w:rPr>
          <w:spacing w:val="-6"/>
        </w:rPr>
        <w:t>国办发〔</w:t>
      </w:r>
      <w:r>
        <w:rPr/>
        <w:t>2022</w:t>
      </w:r>
      <w:r>
        <w:rPr>
          <w:spacing w:val="-17"/>
        </w:rPr>
        <w:t>〕</w:t>
      </w:r>
      <w:r>
        <w:rPr/>
        <w:t>27</w:t>
      </w:r>
      <w:r>
        <w:rPr>
          <w:spacing w:val="-56"/>
        </w:rPr>
        <w:t> 号</w:t>
      </w:r>
      <w:r>
        <w:rPr>
          <w:spacing w:val="-29"/>
        </w:rPr>
        <w:t>）</w:t>
      </w:r>
      <w:r>
        <w:rPr>
          <w:spacing w:val="-3"/>
        </w:rPr>
        <w:t>《市场监督管理行政处罚程序</w:t>
      </w:r>
      <w:r>
        <w:rPr>
          <w:spacing w:val="-3"/>
          <w:w w:val="95"/>
        </w:rPr>
        <w:t>规定》《市场监管总局关于规范市场监督管理行政处罚裁量权的 </w:t>
      </w:r>
      <w:r>
        <w:rPr>
          <w:spacing w:val="-5"/>
        </w:rPr>
        <w:t>指导意见》(国市监法规〔</w:t>
      </w:r>
      <w:r>
        <w:rPr>
          <w:spacing w:val="-3"/>
        </w:rPr>
        <w:t>2022〕</w:t>
      </w:r>
      <w:r>
        <w:rPr/>
        <w:t>2</w:t>
      </w:r>
      <w:r>
        <w:rPr>
          <w:spacing w:val="-12"/>
        </w:rPr>
        <w:t> 号)等规定，制定本规则。</w:t>
      </w:r>
    </w:p>
    <w:p>
      <w:pPr>
        <w:pStyle w:val="BodyText"/>
        <w:spacing w:line="340" w:lineRule="auto" w:before="4"/>
        <w:ind w:left="106" w:right="265" w:firstLine="631"/>
        <w:jc w:val="both"/>
      </w:pPr>
      <w:r>
        <w:rPr>
          <w:rFonts w:ascii="黑体" w:eastAsia="黑体" w:hint="eastAsia"/>
        </w:rPr>
        <w:t>第二条 </w:t>
      </w:r>
      <w:r>
        <w:rPr/>
        <w:t>全省各级市场监督管理机关及其派出机构在行使行政处罚裁量权时，适用本规则。</w:t>
      </w:r>
    </w:p>
    <w:p>
      <w:pPr>
        <w:pStyle w:val="BodyText"/>
        <w:spacing w:line="338" w:lineRule="auto"/>
        <w:ind w:left="106" w:right="262" w:firstLine="631"/>
        <w:jc w:val="both"/>
      </w:pPr>
      <w:r>
        <w:rPr>
          <w:rFonts w:ascii="黑体" w:eastAsia="黑体" w:hint="eastAsia"/>
          <w:spacing w:val="31"/>
        </w:rPr>
        <w:t>第三条 </w:t>
      </w:r>
      <w:r>
        <w:rPr>
          <w:spacing w:val="-3"/>
        </w:rPr>
        <w:t>本规则所称行政处罚裁量权，是指各级市场监督管</w:t>
      </w:r>
      <w:r>
        <w:rPr>
          <w:spacing w:val="-3"/>
          <w:w w:val="95"/>
        </w:rPr>
        <w:t>理机关在实施行政处罚时，根据法律、法规、规章的规定，综合 考虑违法行为的事实、性质、情节、社会危害程度以及当事人主 观过错等因素，决定是否给予行政处罚、给予行政处罚的种类和 </w:t>
      </w:r>
      <w:r>
        <w:rPr>
          <w:spacing w:val="-5"/>
        </w:rPr>
        <w:t>幅度的权限。</w:t>
      </w:r>
    </w:p>
    <w:p>
      <w:pPr>
        <w:pStyle w:val="BodyText"/>
        <w:spacing w:line="338" w:lineRule="auto"/>
        <w:ind w:left="106" w:right="265" w:firstLine="631"/>
        <w:jc w:val="both"/>
      </w:pPr>
      <w:r>
        <w:rPr>
          <w:rFonts w:ascii="黑体" w:eastAsia="黑体" w:hint="eastAsia"/>
        </w:rPr>
        <w:t>第四条 </w:t>
      </w:r>
      <w:r>
        <w:rPr/>
        <w:t>省市场监督管理局根据工作实际，制定全省市场监督管理行政处罚裁量权基准。</w:t>
      </w:r>
    </w:p>
    <w:p>
      <w:pPr>
        <w:pStyle w:val="BodyText"/>
        <w:spacing w:before="1"/>
        <w:ind w:left="737"/>
      </w:pPr>
      <w:r>
        <w:rPr/>
        <w:t>设区的市级市场监督管理机关可以依照法律、法规、规章以</w:t>
      </w:r>
    </w:p>
    <w:p>
      <w:pPr>
        <w:spacing w:after="0"/>
        <w:sectPr>
          <w:pgSz w:w="11910" w:h="16840"/>
          <w:pgMar w:header="0" w:footer="1074" w:top="1580" w:bottom="1260" w:left="148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340" w:lineRule="auto" w:before="54"/>
        <w:ind w:left="106" w:right="262"/>
      </w:pPr>
      <w:r>
        <w:rPr>
          <w:spacing w:val="-3"/>
          <w:w w:val="95"/>
        </w:rPr>
        <w:t>及省市场监督管理局制定的行政处罚裁量权基准，制定本行政区 </w:t>
      </w:r>
      <w:r>
        <w:rPr>
          <w:spacing w:val="-5"/>
        </w:rPr>
        <w:t>域内的行政处罚裁量权基准。</w:t>
      </w:r>
    </w:p>
    <w:p>
      <w:pPr>
        <w:pStyle w:val="BodyText"/>
        <w:spacing w:line="338" w:lineRule="auto"/>
        <w:ind w:left="106" w:right="265" w:firstLine="631"/>
        <w:jc w:val="both"/>
      </w:pPr>
      <w:r>
        <w:rPr>
          <w:spacing w:val="-4"/>
          <w:w w:val="95"/>
        </w:rPr>
        <w:t>县级市场监督管理机关可以在法定范围内，对上级市场监督 </w:t>
      </w:r>
      <w:r>
        <w:rPr>
          <w:spacing w:val="-3"/>
          <w:w w:val="95"/>
        </w:rPr>
        <w:t>管理机关制定的行政处罚裁量权基准适用的标准、条件、种类、 </w:t>
      </w:r>
      <w:r>
        <w:rPr>
          <w:spacing w:val="-5"/>
        </w:rPr>
        <w:t>幅度、方式、时限予以合理细化量化。</w:t>
      </w:r>
    </w:p>
    <w:p>
      <w:pPr>
        <w:pStyle w:val="BodyText"/>
        <w:spacing w:line="338" w:lineRule="auto"/>
        <w:ind w:left="106" w:right="262" w:firstLine="631"/>
        <w:jc w:val="both"/>
      </w:pPr>
      <w:r>
        <w:rPr>
          <w:rFonts w:ascii="黑体" w:eastAsia="黑体" w:hint="eastAsia"/>
          <w:spacing w:val="31"/>
        </w:rPr>
        <w:t>第五条 </w:t>
      </w:r>
      <w:r>
        <w:rPr>
          <w:spacing w:val="-3"/>
        </w:rPr>
        <w:t>对同一行政处罚事项，上级市场监督管理机关已经</w:t>
      </w:r>
      <w:r>
        <w:rPr>
          <w:spacing w:val="-3"/>
          <w:w w:val="95"/>
        </w:rPr>
        <w:t>制定行政处罚裁量权基准的，下级市场监督管理机关原则上应当 直接适用；如下级市场监督管理机关不能直接适用，可以结合地 区经济社会发展状况，在法律、法规、规章规定的行政处罚裁量 权范围内进行合理细化量化，但不能超出上级市场监督管理机关 </w:t>
      </w:r>
      <w:r>
        <w:rPr>
          <w:spacing w:val="-5"/>
        </w:rPr>
        <w:t>划定的阶次或者幅度。</w:t>
      </w:r>
    </w:p>
    <w:p>
      <w:pPr>
        <w:pStyle w:val="BodyText"/>
        <w:spacing w:line="338" w:lineRule="auto" w:before="2"/>
        <w:ind w:left="106" w:right="266" w:firstLine="631"/>
        <w:jc w:val="both"/>
      </w:pPr>
      <w:r>
        <w:rPr>
          <w:spacing w:val="-4"/>
          <w:w w:val="95"/>
        </w:rPr>
        <w:t>下级市场监督管理机关制定的行政处罚裁量权基准与上级市 </w:t>
      </w:r>
      <w:r>
        <w:rPr>
          <w:spacing w:val="-3"/>
          <w:w w:val="95"/>
        </w:rPr>
        <w:t>场监督管理机关制定的行政处罚裁量权基准冲突的，应当适用上 </w:t>
      </w:r>
      <w:r>
        <w:rPr>
          <w:spacing w:val="-5"/>
        </w:rPr>
        <w:t>级市场监督管理机关制定的行政处罚裁量权基准。</w:t>
      </w:r>
    </w:p>
    <w:p>
      <w:pPr>
        <w:pStyle w:val="BodyText"/>
        <w:spacing w:line="338" w:lineRule="auto" w:before="4"/>
        <w:ind w:left="106" w:right="262" w:firstLine="631"/>
        <w:jc w:val="both"/>
      </w:pPr>
      <w:r>
        <w:rPr>
          <w:rFonts w:ascii="黑体" w:eastAsia="黑体" w:hint="eastAsia"/>
          <w:spacing w:val="31"/>
        </w:rPr>
        <w:t>第六条 </w:t>
      </w:r>
      <w:r>
        <w:rPr>
          <w:spacing w:val="-3"/>
        </w:rPr>
        <w:t>实施行政处罚，适用本机关制定的行政处罚裁量权</w:t>
      </w:r>
      <w:r>
        <w:rPr>
          <w:spacing w:val="-3"/>
          <w:w w:val="95"/>
        </w:rPr>
        <w:t>基准可能出现明显不当、显失公平，或者行政处罚裁量权基准适 用的客观情况发生变化的，经本机关主要负责人批准或者集体讨 论通过后可以调整适用，批准材料或者集体讨论记录应列入处罚 </w:t>
      </w:r>
      <w:r>
        <w:rPr>
          <w:spacing w:val="-5"/>
        </w:rPr>
        <w:t>案卷归档保存。</w:t>
      </w:r>
    </w:p>
    <w:p>
      <w:pPr>
        <w:pStyle w:val="BodyText"/>
        <w:spacing w:line="338" w:lineRule="auto" w:before="4"/>
        <w:ind w:left="106" w:right="265" w:firstLine="631"/>
        <w:jc w:val="both"/>
      </w:pPr>
      <w:r>
        <w:rPr>
          <w:spacing w:val="-3"/>
          <w:w w:val="95"/>
        </w:rPr>
        <w:t>适用上级市场监督管理机关制定的行政处罚裁量权基准可能 </w:t>
      </w:r>
      <w:r>
        <w:rPr>
          <w:spacing w:val="6"/>
          <w:w w:val="95"/>
        </w:rPr>
        <w:t>出现前款情形的，逐级报请该基准制定机关批准后，可以调整 </w:t>
      </w:r>
      <w:r>
        <w:rPr>
          <w:spacing w:val="5"/>
        </w:rPr>
        <w:t>适用。</w:t>
      </w:r>
    </w:p>
    <w:p>
      <w:pPr>
        <w:spacing w:after="0" w:line="338" w:lineRule="auto"/>
        <w:jc w:val="both"/>
        <w:sectPr>
          <w:pgSz w:w="11910" w:h="16840"/>
          <w:pgMar w:header="0" w:footer="1074" w:top="1580" w:bottom="1260" w:left="148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2004" w:val="left" w:leader="none"/>
        </w:tabs>
        <w:spacing w:line="340" w:lineRule="auto" w:before="54"/>
        <w:ind w:left="106" w:right="265" w:firstLine="631"/>
      </w:pPr>
      <w:r>
        <w:rPr>
          <w:rFonts w:ascii="黑体" w:eastAsia="黑体" w:hint="eastAsia"/>
          <w:spacing w:val="-3"/>
        </w:rPr>
        <w:t>第七</w:t>
      </w:r>
      <w:r>
        <w:rPr>
          <w:rFonts w:ascii="黑体" w:eastAsia="黑体" w:hint="eastAsia"/>
        </w:rPr>
        <w:t>条</w:t>
        <w:tab/>
      </w:r>
      <w:r>
        <w:rPr>
          <w:spacing w:val="-3"/>
          <w:w w:val="95"/>
        </w:rPr>
        <w:t>行使行政处罚裁量权</w:t>
      </w:r>
      <w:r>
        <w:rPr>
          <w:w w:val="95"/>
        </w:rPr>
        <w:t>应</w:t>
      </w:r>
      <w:r>
        <w:rPr>
          <w:spacing w:val="-3"/>
          <w:w w:val="95"/>
        </w:rPr>
        <w:t>当遵循合法原则、过罚相</w:t>
      </w:r>
      <w:r>
        <w:rPr>
          <w:w w:val="95"/>
        </w:rPr>
        <w:t>当 </w:t>
      </w:r>
      <w:r>
        <w:rPr>
          <w:spacing w:val="-3"/>
        </w:rPr>
        <w:t>原</w:t>
      </w:r>
      <w:r>
        <w:rPr>
          <w:spacing w:val="-5"/>
        </w:rPr>
        <w:t>则</w:t>
      </w:r>
      <w:r>
        <w:rPr>
          <w:spacing w:val="-3"/>
        </w:rPr>
        <w:t>、公</w:t>
      </w:r>
      <w:r>
        <w:rPr>
          <w:spacing w:val="-5"/>
        </w:rPr>
        <w:t>平</w:t>
      </w:r>
      <w:r>
        <w:rPr>
          <w:spacing w:val="-3"/>
        </w:rPr>
        <w:t>公</w:t>
      </w:r>
      <w:r>
        <w:rPr>
          <w:spacing w:val="-5"/>
        </w:rPr>
        <w:t>正</w:t>
      </w:r>
      <w:r>
        <w:rPr>
          <w:spacing w:val="-3"/>
        </w:rPr>
        <w:t>原则</w:t>
      </w:r>
      <w:r>
        <w:rPr>
          <w:spacing w:val="-5"/>
        </w:rPr>
        <w:t>、</w:t>
      </w:r>
      <w:r>
        <w:rPr>
          <w:spacing w:val="-3"/>
        </w:rPr>
        <w:t>处</w:t>
      </w:r>
      <w:r>
        <w:rPr>
          <w:spacing w:val="-5"/>
        </w:rPr>
        <w:t>罚</w:t>
      </w:r>
      <w:r>
        <w:rPr>
          <w:spacing w:val="-3"/>
        </w:rPr>
        <w:t>与</w:t>
      </w:r>
      <w:r>
        <w:rPr>
          <w:spacing w:val="-5"/>
        </w:rPr>
        <w:t>教</w:t>
      </w:r>
      <w:r>
        <w:rPr>
          <w:spacing w:val="-3"/>
        </w:rPr>
        <w:t>育相</w:t>
      </w:r>
      <w:r>
        <w:rPr>
          <w:spacing w:val="-5"/>
        </w:rPr>
        <w:t>结</w:t>
      </w:r>
      <w:r>
        <w:rPr>
          <w:spacing w:val="-3"/>
        </w:rPr>
        <w:t>合原</w:t>
      </w:r>
      <w:r>
        <w:rPr>
          <w:spacing w:val="-5"/>
        </w:rPr>
        <w:t>则</w:t>
      </w:r>
      <w:r>
        <w:rPr>
          <w:spacing w:val="-3"/>
        </w:rPr>
        <w:t>、</w:t>
      </w:r>
      <w:r>
        <w:rPr>
          <w:spacing w:val="-5"/>
        </w:rPr>
        <w:t>综</w:t>
      </w:r>
      <w:r>
        <w:rPr>
          <w:spacing w:val="-3"/>
        </w:rPr>
        <w:t>合裁</w:t>
      </w:r>
      <w:r>
        <w:rPr>
          <w:spacing w:val="-5"/>
        </w:rPr>
        <w:t>量</w:t>
      </w:r>
      <w:r>
        <w:rPr>
          <w:spacing w:val="-3"/>
        </w:rPr>
        <w:t>原则</w:t>
      </w:r>
      <w:r>
        <w:rPr/>
        <w:t>。</w:t>
      </w:r>
    </w:p>
    <w:p>
      <w:pPr>
        <w:pStyle w:val="BodyText"/>
        <w:tabs>
          <w:tab w:pos="2004" w:val="left" w:leader="none"/>
        </w:tabs>
        <w:spacing w:line="338" w:lineRule="auto"/>
        <w:ind w:left="106" w:right="106" w:firstLine="631"/>
      </w:pPr>
      <w:r>
        <w:rPr>
          <w:rFonts w:ascii="黑体" w:eastAsia="黑体" w:hint="eastAsia"/>
          <w:spacing w:val="-3"/>
        </w:rPr>
        <w:t>第八</w:t>
      </w:r>
      <w:r>
        <w:rPr>
          <w:rFonts w:ascii="黑体" w:eastAsia="黑体" w:hint="eastAsia"/>
        </w:rPr>
        <w:t>条</w:t>
        <w:tab/>
      </w:r>
      <w:r>
        <w:rPr>
          <w:spacing w:val="-3"/>
          <w:w w:val="95"/>
        </w:rPr>
        <w:t>实施行政处罚</w:t>
      </w:r>
      <w:r>
        <w:rPr>
          <w:spacing w:val="-79"/>
          <w:w w:val="95"/>
        </w:rPr>
        <w:t>，</w:t>
      </w:r>
      <w:r>
        <w:rPr>
          <w:spacing w:val="-3"/>
          <w:w w:val="95"/>
        </w:rPr>
        <w:t>适用违法行为发生时的法</w:t>
      </w:r>
      <w:r>
        <w:rPr>
          <w:spacing w:val="-5"/>
          <w:w w:val="95"/>
        </w:rPr>
        <w:t>律</w:t>
      </w:r>
      <w:r>
        <w:rPr>
          <w:spacing w:val="-79"/>
          <w:w w:val="95"/>
        </w:rPr>
        <w:t>、</w:t>
      </w:r>
      <w:r>
        <w:rPr>
          <w:spacing w:val="-3"/>
          <w:w w:val="95"/>
        </w:rPr>
        <w:t>法规</w:t>
      </w:r>
      <w:r>
        <w:rPr>
          <w:w w:val="95"/>
        </w:rPr>
        <w:t>、 </w:t>
      </w:r>
      <w:r>
        <w:rPr>
          <w:spacing w:val="-3"/>
        </w:rPr>
        <w:t>规章的规定。但是，作出行政处罚决定时，法律、法</w:t>
      </w:r>
      <w:r>
        <w:rPr/>
        <w:t>规</w:t>
      </w:r>
      <w:r>
        <w:rPr>
          <w:spacing w:val="-3"/>
        </w:rPr>
        <w:t>、规章</w:t>
      </w:r>
      <w:r>
        <w:rPr/>
        <w:t>已</w:t>
      </w:r>
      <w:r>
        <w:rPr>
          <w:spacing w:val="-3"/>
        </w:rPr>
        <w:t>被修改或者废止，且新的规定处罚较轻或者不认为是</w:t>
      </w:r>
      <w:r>
        <w:rPr/>
        <w:t>违</w:t>
      </w:r>
      <w:r>
        <w:rPr>
          <w:spacing w:val="-3"/>
        </w:rPr>
        <w:t>法的，</w:t>
      </w:r>
      <w:r>
        <w:rPr/>
        <w:t>适</w:t>
      </w:r>
      <w:r>
        <w:rPr>
          <w:spacing w:val="-3"/>
        </w:rPr>
        <w:t>用</w:t>
      </w:r>
      <w:r>
        <w:rPr>
          <w:spacing w:val="-5"/>
        </w:rPr>
        <w:t>新</w:t>
      </w:r>
      <w:r>
        <w:rPr>
          <w:spacing w:val="-3"/>
        </w:rPr>
        <w:t>的</w:t>
      </w:r>
      <w:r>
        <w:rPr>
          <w:spacing w:val="-5"/>
        </w:rPr>
        <w:t>规</w:t>
      </w:r>
      <w:r>
        <w:rPr>
          <w:spacing w:val="-3"/>
        </w:rPr>
        <w:t>定</w:t>
      </w:r>
      <w:r>
        <w:rPr/>
        <w:t>。</w:t>
      </w:r>
    </w:p>
    <w:p>
      <w:pPr>
        <w:pStyle w:val="BodyText"/>
        <w:spacing w:line="338" w:lineRule="auto"/>
        <w:ind w:left="106" w:right="262" w:firstLine="631"/>
        <w:jc w:val="both"/>
      </w:pPr>
      <w:r>
        <w:rPr>
          <w:rFonts w:ascii="黑体" w:eastAsia="黑体" w:hint="eastAsia"/>
          <w:spacing w:val="31"/>
        </w:rPr>
        <w:t>第九条 </w:t>
      </w:r>
      <w:r>
        <w:rPr>
          <w:spacing w:val="-3"/>
        </w:rPr>
        <w:t>实施行政处罚，对违法事实、性质、情节、社会危</w:t>
      </w:r>
      <w:r>
        <w:rPr>
          <w:spacing w:val="-3"/>
          <w:w w:val="95"/>
        </w:rPr>
        <w:t>害程度等因素相同或者相似的违法行为，所适用的行政处罚种类 </w:t>
      </w:r>
      <w:r>
        <w:rPr>
          <w:spacing w:val="-5"/>
        </w:rPr>
        <w:t>和行政处罚幅度应当基本相同。</w:t>
      </w:r>
    </w:p>
    <w:p>
      <w:pPr>
        <w:pStyle w:val="BodyText"/>
        <w:spacing w:line="338" w:lineRule="auto" w:before="2"/>
        <w:ind w:left="106" w:right="262" w:firstLine="631"/>
        <w:jc w:val="both"/>
      </w:pPr>
      <w:r>
        <w:rPr>
          <w:spacing w:val="-3"/>
          <w:w w:val="95"/>
        </w:rPr>
        <w:t>对同一违法案件涉及的多个当事人实施行政处罚，应当根据 各当事人的违法情节及其在违法活动中所起的作用，分别确定相 </w:t>
      </w:r>
      <w:r>
        <w:rPr>
          <w:spacing w:val="-5"/>
        </w:rPr>
        <w:t>应的处罚种类和处罚幅度。</w:t>
      </w:r>
    </w:p>
    <w:p>
      <w:pPr>
        <w:pStyle w:val="BodyText"/>
        <w:spacing w:line="340" w:lineRule="auto" w:before="1"/>
        <w:ind w:left="106" w:right="265" w:firstLine="631"/>
      </w:pPr>
      <w:r>
        <w:rPr>
          <w:spacing w:val="-3"/>
          <w:w w:val="95"/>
        </w:rPr>
        <w:t>实施行政处罚，对同一违法行为违反多个法律规范的，按照 </w:t>
      </w:r>
      <w:r>
        <w:rPr>
          <w:spacing w:val="-5"/>
        </w:rPr>
        <w:t>罚款额度高的规定处以罚款处罚，其他处罚种类一并实施。</w:t>
      </w:r>
    </w:p>
    <w:p>
      <w:pPr>
        <w:pStyle w:val="BodyText"/>
        <w:spacing w:line="338" w:lineRule="auto"/>
        <w:ind w:left="106" w:right="265" w:firstLine="631"/>
        <w:jc w:val="both"/>
      </w:pPr>
      <w:r>
        <w:rPr>
          <w:rFonts w:ascii="黑体" w:eastAsia="黑体" w:hint="eastAsia"/>
          <w:spacing w:val="31"/>
        </w:rPr>
        <w:t>第十条 </w:t>
      </w:r>
      <w:r>
        <w:rPr>
          <w:spacing w:val="-3"/>
        </w:rPr>
        <w:t>实施行政处罚，应当明确区分减轻行政处罚、从轻</w:t>
      </w:r>
      <w:r>
        <w:rPr>
          <w:spacing w:val="-3"/>
          <w:w w:val="95"/>
        </w:rPr>
        <w:t>行政处罚、一般行政处罚、从重行政处罚的不同情况，准确行使 </w:t>
      </w:r>
      <w:r>
        <w:rPr>
          <w:spacing w:val="-5"/>
        </w:rPr>
        <w:t>行政处罚裁量权。</w:t>
      </w:r>
    </w:p>
    <w:p>
      <w:pPr>
        <w:pStyle w:val="BodyText"/>
        <w:spacing w:line="338" w:lineRule="auto"/>
        <w:ind w:left="106" w:right="262" w:firstLine="631"/>
        <w:jc w:val="both"/>
      </w:pPr>
      <w:r>
        <w:rPr>
          <w:spacing w:val="-3"/>
          <w:w w:val="95"/>
        </w:rPr>
        <w:t>（一）减轻行政处罚是指适用法定行政处罚最低限度以下的 行政处罚种类或者行政处罚幅度。包括在违法行为应当受到的一 种或者几种行政处罚种类之外选择更轻的行政处罚种类，或者在 </w:t>
      </w:r>
      <w:r>
        <w:rPr>
          <w:spacing w:val="7"/>
        </w:rPr>
        <w:t>应当并处时不并处；也包括在法定最低罚款数额以下确定罚款</w:t>
      </w:r>
      <w:r>
        <w:rPr>
          <w:spacing w:val="5"/>
        </w:rPr>
        <w:t>数额。</w:t>
      </w:r>
    </w:p>
    <w:p>
      <w:pPr>
        <w:spacing w:after="0" w:line="338" w:lineRule="auto"/>
        <w:jc w:val="both"/>
        <w:sectPr>
          <w:pgSz w:w="11910" w:h="16840"/>
          <w:pgMar w:header="0" w:footer="1074" w:top="1580" w:bottom="1260" w:left="148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340" w:lineRule="auto" w:before="54"/>
        <w:ind w:left="106" w:right="262" w:firstLine="631"/>
        <w:jc w:val="both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二）从轻行政处罚是指在依法可以选择的行政处罚种类和 行政处罚幅度内，适用较轻、较少的行政处罚种类或者较低的行 政处罚幅度。其中，罚款的数额应当在从最低限到最高限幅度中 </w:t>
      </w:r>
      <w:r>
        <w:rPr>
          <w:spacing w:val="-3"/>
        </w:rPr>
        <w:t>较</w:t>
      </w:r>
      <w:r>
        <w:rPr>
          <w:spacing w:val="-5"/>
        </w:rPr>
        <w:t>低</w:t>
      </w:r>
      <w:r>
        <w:rPr/>
        <w:t>的</w:t>
      </w:r>
      <w:r>
        <w:rPr>
          <w:spacing w:val="-87"/>
        </w:rPr>
        <w:t> </w:t>
      </w:r>
      <w:r>
        <w:rPr>
          <w:spacing w:val="3"/>
        </w:rPr>
        <w:t>30</w:t>
      </w:r>
      <w:r>
        <w:rPr>
          <w:spacing w:val="8"/>
          <w:w w:val="99"/>
        </w:rPr>
        <w:drawing>
          <wp:inline distT="0" distB="0" distL="0" distR="0">
            <wp:extent cx="85724" cy="155574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w w:val="99"/>
        </w:rPr>
      </w:r>
      <w:r>
        <w:rPr>
          <w:spacing w:val="-3"/>
        </w:rPr>
        <w:t>（</w:t>
      </w:r>
      <w:r>
        <w:rPr>
          <w:spacing w:val="-5"/>
        </w:rPr>
        <w:t>含</w:t>
      </w:r>
      <w:r>
        <w:rPr>
          <w:spacing w:val="-3"/>
        </w:rPr>
        <w:t>本</w:t>
      </w:r>
      <w:r>
        <w:rPr>
          <w:spacing w:val="-5"/>
        </w:rPr>
        <w:t>数</w:t>
      </w:r>
      <w:r>
        <w:rPr>
          <w:spacing w:val="-3"/>
        </w:rPr>
        <w:t>）以</w:t>
      </w:r>
      <w:r>
        <w:rPr>
          <w:spacing w:val="-5"/>
        </w:rPr>
        <w:t>下</w:t>
      </w:r>
      <w:r>
        <w:rPr>
          <w:spacing w:val="-3"/>
        </w:rPr>
        <w:t>部分确</w:t>
      </w:r>
      <w:r>
        <w:rPr>
          <w:spacing w:val="-5"/>
        </w:rPr>
        <w:t>定</w:t>
      </w:r>
      <w:r>
        <w:rPr/>
        <w:t>。</w:t>
      </w:r>
    </w:p>
    <w:p>
      <w:pPr>
        <w:pStyle w:val="BodyText"/>
        <w:spacing w:line="397" w:lineRule="exact"/>
        <w:ind w:left="737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三）一般行政处罚是指在依法可以选择的行政处罚种类和</w:t>
      </w:r>
    </w:p>
    <w:p>
      <w:pPr>
        <w:pStyle w:val="BodyText"/>
        <w:spacing w:line="338" w:lineRule="auto" w:before="171"/>
        <w:ind w:left="106" w:right="262"/>
      </w:pPr>
      <w:r>
        <w:rPr/>
        <w:drawing>
          <wp:anchor distT="0" distB="0" distL="0" distR="0" allowOverlap="1" layoutInCell="1" locked="0" behindDoc="1" simplePos="0" relativeHeight="251433984">
            <wp:simplePos x="0" y="0"/>
            <wp:positionH relativeFrom="page">
              <wp:posOffset>6195302</wp:posOffset>
            </wp:positionH>
            <wp:positionV relativeFrom="paragraph">
              <wp:posOffset>526668</wp:posOffset>
            </wp:positionV>
            <wp:extent cx="85724" cy="155574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w w:val="95"/>
        </w:rPr>
        <w:t>行政处罚幅度内，适用一般的行政处罚种类或者一般的行政处罚 </w:t>
      </w:r>
      <w:r>
        <w:rPr>
          <w:spacing w:val="-21"/>
        </w:rPr>
        <w:t>幅度。其中，罚款的数额应当在从最低限到最高限幅度中 </w:t>
      </w:r>
      <w:r>
        <w:rPr/>
        <w:t>30</w:t>
      </w:r>
      <w:r>
        <w:rPr>
          <w:spacing w:val="-96"/>
        </w:rPr>
        <w:t> </w:t>
      </w:r>
      <w:r>
        <w:rPr>
          <w:spacing w:val="-3"/>
        </w:rPr>
        <w:t>（</w:t>
      </w:r>
      <w:r>
        <w:rPr/>
        <w:t>不</w:t>
      </w:r>
    </w:p>
    <w:p>
      <w:pPr>
        <w:pStyle w:val="BodyText"/>
        <w:spacing w:line="406" w:lineRule="exact"/>
        <w:ind w:left="106"/>
      </w:pPr>
      <w:r>
        <w:rPr>
          <w:spacing w:val="-3"/>
          <w:position w:val="1"/>
        </w:rPr>
        <w:t>含</w:t>
      </w:r>
      <w:r>
        <w:rPr>
          <w:spacing w:val="-5"/>
          <w:position w:val="1"/>
        </w:rPr>
        <w:t>本</w:t>
      </w:r>
      <w:r>
        <w:rPr>
          <w:spacing w:val="-3"/>
          <w:position w:val="1"/>
        </w:rPr>
        <w:t>数</w:t>
      </w:r>
      <w:r>
        <w:rPr>
          <w:spacing w:val="-5"/>
          <w:position w:val="1"/>
        </w:rPr>
        <w:t>）</w:t>
      </w:r>
      <w:r>
        <w:rPr>
          <w:spacing w:val="-3"/>
          <w:position w:val="1"/>
        </w:rPr>
        <w:t>以</w:t>
      </w:r>
      <w:r>
        <w:rPr>
          <w:spacing w:val="-5"/>
          <w:position w:val="1"/>
        </w:rPr>
        <w:t>上</w:t>
      </w:r>
      <w:r>
        <w:rPr>
          <w:spacing w:val="-3"/>
          <w:position w:val="1"/>
        </w:rPr>
        <w:t>部</w:t>
      </w:r>
      <w:r>
        <w:rPr>
          <w:spacing w:val="-5"/>
          <w:position w:val="1"/>
        </w:rPr>
        <w:t>分</w:t>
      </w:r>
      <w:r>
        <w:rPr>
          <w:position w:val="1"/>
        </w:rPr>
        <w:t>至</w:t>
      </w:r>
      <w:r>
        <w:rPr>
          <w:spacing w:val="-93"/>
          <w:position w:val="1"/>
        </w:rPr>
        <w:t> </w:t>
      </w:r>
      <w:r>
        <w:rPr>
          <w:spacing w:val="3"/>
          <w:position w:val="1"/>
        </w:rPr>
        <w:t>70</w:t>
      </w:r>
      <w:r>
        <w:rPr>
          <w:spacing w:val="8"/>
          <w:w w:val="99"/>
        </w:rPr>
        <w:drawing>
          <wp:inline distT="0" distB="0" distL="0" distR="0">
            <wp:extent cx="85724" cy="155574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w w:val="99"/>
        </w:rPr>
      </w:r>
      <w:r>
        <w:rPr>
          <w:spacing w:val="-3"/>
          <w:position w:val="1"/>
        </w:rPr>
        <w:t>（</w:t>
      </w:r>
      <w:r>
        <w:rPr>
          <w:spacing w:val="-5"/>
          <w:position w:val="1"/>
        </w:rPr>
        <w:t>含</w:t>
      </w:r>
      <w:r>
        <w:rPr>
          <w:spacing w:val="-3"/>
          <w:position w:val="1"/>
        </w:rPr>
        <w:t>本</w:t>
      </w:r>
      <w:r>
        <w:rPr>
          <w:spacing w:val="-5"/>
          <w:position w:val="1"/>
        </w:rPr>
        <w:t>数</w:t>
      </w:r>
      <w:r>
        <w:rPr>
          <w:spacing w:val="-3"/>
          <w:position w:val="1"/>
        </w:rPr>
        <w:t>）以</w:t>
      </w:r>
      <w:r>
        <w:rPr>
          <w:spacing w:val="-5"/>
          <w:position w:val="1"/>
        </w:rPr>
        <w:t>下</w:t>
      </w:r>
      <w:r>
        <w:rPr>
          <w:spacing w:val="-3"/>
          <w:position w:val="1"/>
        </w:rPr>
        <w:t>部</w:t>
      </w:r>
      <w:r>
        <w:rPr>
          <w:spacing w:val="-5"/>
          <w:position w:val="1"/>
        </w:rPr>
        <w:t>分</w:t>
      </w:r>
      <w:r>
        <w:rPr>
          <w:spacing w:val="-3"/>
          <w:position w:val="1"/>
        </w:rPr>
        <w:t>确定</w:t>
      </w:r>
      <w:r>
        <w:rPr>
          <w:position w:val="1"/>
        </w:rPr>
        <w:t>。</w:t>
      </w:r>
    </w:p>
    <w:p>
      <w:pPr>
        <w:pStyle w:val="BodyText"/>
        <w:spacing w:line="340" w:lineRule="auto" w:before="173"/>
        <w:ind w:left="106" w:right="262" w:firstLine="631"/>
        <w:jc w:val="both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四）从重行政处罚是指在依法可以选择的行政处罚种类和 行政处罚幅度内，适用较重、较多的行政处罚种类或者较高的行 政处罚幅度。其中，罚款的数额应当在从最低限到最高限幅度中 </w:t>
      </w:r>
      <w:r>
        <w:rPr>
          <w:spacing w:val="-3"/>
        </w:rPr>
        <w:t>较</w:t>
      </w:r>
      <w:r>
        <w:rPr>
          <w:spacing w:val="-5"/>
        </w:rPr>
        <w:t>高</w:t>
      </w:r>
      <w:r>
        <w:rPr/>
        <w:t>的</w:t>
      </w:r>
      <w:r>
        <w:rPr>
          <w:spacing w:val="-87"/>
        </w:rPr>
        <w:t> </w:t>
      </w:r>
      <w:r>
        <w:rPr>
          <w:spacing w:val="3"/>
        </w:rPr>
        <w:t>30</w:t>
      </w:r>
      <w:r>
        <w:rPr>
          <w:spacing w:val="8"/>
          <w:w w:val="99"/>
        </w:rPr>
        <w:drawing>
          <wp:inline distT="0" distB="0" distL="0" distR="0">
            <wp:extent cx="85724" cy="155574"/>
            <wp:effectExtent l="0" t="0" r="0" b="0"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w w:val="99"/>
        </w:rPr>
      </w:r>
      <w:r>
        <w:rPr>
          <w:spacing w:val="-3"/>
        </w:rPr>
        <w:t>（</w:t>
      </w:r>
      <w:r>
        <w:rPr>
          <w:spacing w:val="-5"/>
        </w:rPr>
        <w:t>不</w:t>
      </w:r>
      <w:r>
        <w:rPr>
          <w:spacing w:val="-3"/>
        </w:rPr>
        <w:t>含</w:t>
      </w:r>
      <w:r>
        <w:rPr>
          <w:spacing w:val="-5"/>
        </w:rPr>
        <w:t>本</w:t>
      </w:r>
      <w:r>
        <w:rPr>
          <w:spacing w:val="-3"/>
        </w:rPr>
        <w:t>数）</w:t>
      </w:r>
      <w:r>
        <w:rPr>
          <w:spacing w:val="-5"/>
        </w:rPr>
        <w:t>以</w:t>
      </w:r>
      <w:r>
        <w:rPr>
          <w:spacing w:val="-3"/>
        </w:rPr>
        <w:t>上部</w:t>
      </w:r>
      <w:r>
        <w:rPr>
          <w:spacing w:val="-5"/>
        </w:rPr>
        <w:t>分</w:t>
      </w:r>
      <w:r>
        <w:rPr>
          <w:spacing w:val="-3"/>
        </w:rPr>
        <w:t>确定</w:t>
      </w:r>
      <w:r>
        <w:rPr/>
        <w:t>。</w:t>
      </w:r>
    </w:p>
    <w:p>
      <w:pPr>
        <w:pStyle w:val="BodyText"/>
        <w:spacing w:line="397" w:lineRule="exact"/>
        <w:ind w:left="737"/>
        <w:jc w:val="both"/>
      </w:pPr>
      <w:r>
        <w:rPr>
          <w:rFonts w:ascii="黑体" w:eastAsia="黑体" w:hint="eastAsia"/>
        </w:rPr>
        <w:t>第十一条 </w:t>
      </w:r>
      <w:r>
        <w:rPr/>
        <w:t>不予行政处罚是指因法定原因对特定违法行为不</w:t>
      </w:r>
    </w:p>
    <w:p>
      <w:pPr>
        <w:pStyle w:val="BodyText"/>
        <w:spacing w:before="171"/>
        <w:ind w:left="106"/>
      </w:pPr>
      <w:r>
        <w:rPr/>
        <w:t>给予行政处罚。</w:t>
      </w:r>
    </w:p>
    <w:p>
      <w:pPr>
        <w:pStyle w:val="BodyText"/>
        <w:tabs>
          <w:tab w:pos="2316" w:val="left" w:leader="none"/>
        </w:tabs>
        <w:spacing w:before="169"/>
        <w:ind w:left="737"/>
      </w:pPr>
      <w:r>
        <w:rPr>
          <w:rFonts w:ascii="黑体" w:eastAsia="黑体" w:hint="eastAsia"/>
          <w:spacing w:val="-3"/>
        </w:rPr>
        <w:t>第</w:t>
      </w:r>
      <w:r>
        <w:rPr>
          <w:rFonts w:ascii="黑体" w:eastAsia="黑体" w:hint="eastAsia"/>
          <w:spacing w:val="-5"/>
        </w:rPr>
        <w:t>十</w:t>
      </w:r>
      <w:r>
        <w:rPr>
          <w:rFonts w:ascii="黑体" w:eastAsia="黑体" w:hint="eastAsia"/>
          <w:spacing w:val="-3"/>
        </w:rPr>
        <w:t>二</w:t>
      </w:r>
      <w:r>
        <w:rPr>
          <w:rFonts w:ascii="黑体" w:eastAsia="黑体" w:hint="eastAsia"/>
        </w:rPr>
        <w:t>条</w:t>
        <w:tab/>
      </w:r>
      <w:r>
        <w:rPr>
          <w:spacing w:val="-3"/>
        </w:rPr>
        <w:t>当</w:t>
      </w:r>
      <w:r>
        <w:rPr>
          <w:spacing w:val="-5"/>
        </w:rPr>
        <w:t>事</w:t>
      </w:r>
      <w:r>
        <w:rPr>
          <w:spacing w:val="-3"/>
        </w:rPr>
        <w:t>人</w:t>
      </w:r>
      <w:r>
        <w:rPr>
          <w:spacing w:val="-5"/>
        </w:rPr>
        <w:t>有</w:t>
      </w:r>
      <w:r>
        <w:rPr>
          <w:spacing w:val="-3"/>
        </w:rPr>
        <w:t>下列</w:t>
      </w:r>
      <w:r>
        <w:rPr>
          <w:spacing w:val="-5"/>
        </w:rPr>
        <w:t>情</w:t>
      </w:r>
      <w:r>
        <w:rPr>
          <w:spacing w:val="-3"/>
        </w:rPr>
        <w:t>形之</w:t>
      </w:r>
      <w:r>
        <w:rPr>
          <w:spacing w:val="-5"/>
        </w:rPr>
        <w:t>一</w:t>
      </w:r>
      <w:r>
        <w:rPr>
          <w:spacing w:val="-159"/>
        </w:rPr>
        <w:t>，</w:t>
      </w:r>
      <w:r>
        <w:rPr>
          <w:spacing w:val="-3"/>
        </w:rPr>
        <w:t>应</w:t>
      </w:r>
      <w:r>
        <w:rPr>
          <w:spacing w:val="-5"/>
        </w:rPr>
        <w:t>当</w:t>
      </w:r>
      <w:r>
        <w:rPr>
          <w:spacing w:val="-3"/>
        </w:rPr>
        <w:t>依</w:t>
      </w:r>
      <w:r>
        <w:rPr>
          <w:spacing w:val="-5"/>
        </w:rPr>
        <w:t>法</w:t>
      </w:r>
      <w:r>
        <w:rPr>
          <w:spacing w:val="-3"/>
        </w:rPr>
        <w:t>不予</w:t>
      </w:r>
      <w:r>
        <w:rPr>
          <w:spacing w:val="-5"/>
        </w:rPr>
        <w:t>行</w:t>
      </w:r>
      <w:r>
        <w:rPr>
          <w:spacing w:val="-3"/>
        </w:rPr>
        <w:t>政处</w:t>
      </w:r>
      <w:r>
        <w:rPr>
          <w:spacing w:val="-5"/>
        </w:rPr>
        <w:t>罚</w:t>
      </w:r>
      <w:r>
        <w:rPr/>
        <w:t>：</w:t>
      </w:r>
    </w:p>
    <w:p>
      <w:pPr>
        <w:pStyle w:val="BodyText"/>
        <w:spacing w:before="168"/>
        <w:ind w:left="737"/>
      </w:pPr>
      <w:r>
        <w:rPr/>
        <w:t>（一）不满十四周岁的未成年人有违法行为的；</w:t>
      </w:r>
    </w:p>
    <w:p>
      <w:pPr>
        <w:pStyle w:val="BodyText"/>
        <w:spacing w:line="340" w:lineRule="auto" w:before="168"/>
        <w:ind w:left="106" w:right="265" w:firstLine="631"/>
      </w:pPr>
      <w:r>
        <w:rPr>
          <w:spacing w:val="-3"/>
          <w:w w:val="95"/>
        </w:rPr>
        <w:t>（二）精神病人、智力残疾人在不能辨认或者不能控制自己 </w:t>
      </w:r>
      <w:r>
        <w:rPr>
          <w:spacing w:val="-5"/>
        </w:rPr>
        <w:t>行为时有违法行为的；</w:t>
      </w:r>
    </w:p>
    <w:p>
      <w:pPr>
        <w:pStyle w:val="BodyText"/>
        <w:spacing w:line="405" w:lineRule="exact"/>
        <w:ind w:left="737"/>
      </w:pPr>
      <w:r>
        <w:rPr/>
        <w:t>（三）违法行为轻微并及时改正，没有造成危害后果的；</w:t>
      </w:r>
    </w:p>
    <w:p>
      <w:pPr>
        <w:pStyle w:val="BodyText"/>
        <w:spacing w:line="338" w:lineRule="auto" w:before="169"/>
        <w:ind w:left="106" w:right="265" w:firstLine="631"/>
      </w:pPr>
      <w:r>
        <w:rPr>
          <w:spacing w:val="-3"/>
          <w:w w:val="95"/>
        </w:rPr>
        <w:t>（四）除法律、行政法规另有规定外，当事人有证据足以证 </w:t>
      </w:r>
      <w:r>
        <w:rPr>
          <w:spacing w:val="-5"/>
        </w:rPr>
        <w:t>明没有主观过错的;</w:t>
      </w:r>
    </w:p>
    <w:p>
      <w:pPr>
        <w:pStyle w:val="BodyText"/>
        <w:spacing w:before="3"/>
        <w:ind w:left="737"/>
      </w:pPr>
      <w:r>
        <w:rPr/>
        <w:t>（五）其他依法应当不予行政处罚的。</w:t>
      </w:r>
    </w:p>
    <w:p>
      <w:pPr>
        <w:spacing w:after="0"/>
        <w:sectPr>
          <w:pgSz w:w="11910" w:h="16840"/>
          <w:pgMar w:header="0" w:footer="1074" w:top="1580" w:bottom="1260" w:left="148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340" w:lineRule="auto" w:before="54"/>
        <w:ind w:left="106" w:right="265" w:firstLine="631"/>
        <w:jc w:val="both"/>
      </w:pPr>
      <w:r>
        <w:rPr>
          <w:rFonts w:ascii="黑体" w:eastAsia="黑体" w:hint="eastAsia"/>
        </w:rPr>
        <w:t>第十三条 </w:t>
      </w:r>
      <w:r>
        <w:rPr/>
        <w:t>初次违法且危害后果轻微并及时改正的，可以不予行政处罚。</w:t>
      </w:r>
    </w:p>
    <w:p>
      <w:pPr>
        <w:pStyle w:val="BodyText"/>
        <w:spacing w:line="338" w:lineRule="auto"/>
        <w:ind w:left="106" w:right="262" w:firstLine="631"/>
        <w:jc w:val="both"/>
      </w:pPr>
      <w:r>
        <w:rPr>
          <w:rFonts w:ascii="黑体" w:eastAsia="黑体" w:hint="eastAsia"/>
          <w:spacing w:val="23"/>
        </w:rPr>
        <w:t>第十四条 </w:t>
      </w:r>
      <w:r>
        <w:rPr>
          <w:spacing w:val="-3"/>
        </w:rPr>
        <w:t>违法行为在二年内未被发现的，不再给予行政处</w:t>
      </w:r>
      <w:r>
        <w:rPr>
          <w:spacing w:val="-3"/>
          <w:w w:val="95"/>
        </w:rPr>
        <w:t>罚；涉及公民生命健康安全、金融安全且有危害后果的，上述期 </w:t>
      </w:r>
      <w:r>
        <w:rPr>
          <w:spacing w:val="-5"/>
        </w:rPr>
        <w:t>限延长至五年。法律另有规定的除外。</w:t>
      </w:r>
    </w:p>
    <w:p>
      <w:pPr>
        <w:pStyle w:val="BodyText"/>
        <w:spacing w:line="464" w:lineRule="exact"/>
        <w:ind w:left="737"/>
      </w:pPr>
      <w:r>
        <w:rPr>
          <w:rFonts w:ascii="黑体" w:hAnsi="黑体" w:eastAsia="黑体" w:hint="eastAsia"/>
        </w:rPr>
        <w:t>第十五条</w:t>
      </w:r>
      <w:r>
        <w:rPr>
          <w:rFonts w:ascii="Lucida Sans Unicode" w:hAnsi="Lucida Sans Unicode" w:eastAsia="Lucida Sans Unicode"/>
        </w:rPr>
        <w:t> </w:t>
      </w:r>
      <w:r>
        <w:rPr/>
        <w:t>当事人有下列情形之一，应当依法从轻或者减轻</w:t>
      </w:r>
    </w:p>
    <w:p>
      <w:pPr>
        <w:pStyle w:val="BodyText"/>
        <w:spacing w:before="113"/>
        <w:ind w:left="106"/>
      </w:pPr>
      <w:r>
        <w:rPr/>
        <w:t>行政处罚：</w:t>
      </w:r>
    </w:p>
    <w:p>
      <w:pPr>
        <w:pStyle w:val="BodyText"/>
        <w:spacing w:before="168"/>
        <w:ind w:left="737"/>
      </w:pPr>
      <w:r>
        <w:rPr>
          <w:spacing w:val="-3"/>
        </w:rPr>
        <w:t>（</w:t>
      </w:r>
      <w:r>
        <w:rPr>
          <w:spacing w:val="-5"/>
        </w:rPr>
        <w:t>一</w:t>
      </w:r>
      <w:r>
        <w:rPr>
          <w:spacing w:val="-159"/>
        </w:rPr>
        <w:t>）</w:t>
      </w:r>
      <w:r>
        <w:rPr>
          <w:spacing w:val="-5"/>
        </w:rPr>
        <w:t>已满十四周岁不满十八周岁的未成年人有违法行为的；</w:t>
      </w:r>
    </w:p>
    <w:p>
      <w:pPr>
        <w:pStyle w:val="BodyText"/>
        <w:spacing w:before="168"/>
        <w:ind w:left="737"/>
      </w:pPr>
      <w:r>
        <w:rPr/>
        <w:t>（二）主动消除或者减轻违法行为危害后果的；</w:t>
      </w:r>
    </w:p>
    <w:p>
      <w:pPr>
        <w:pStyle w:val="BodyText"/>
        <w:spacing w:before="171"/>
        <w:ind w:left="737"/>
      </w:pPr>
      <w:r>
        <w:rPr/>
        <w:t>（三）受他人胁迫或者诱骗实施违法行为的；</w:t>
      </w:r>
    </w:p>
    <w:p>
      <w:pPr>
        <w:pStyle w:val="BodyText"/>
        <w:spacing w:line="338" w:lineRule="auto" w:before="169"/>
        <w:ind w:left="106" w:right="262" w:firstLine="631"/>
        <w:jc w:val="both"/>
      </w:pPr>
      <w:r>
        <w:rPr>
          <w:spacing w:val="-3"/>
          <w:w w:val="95"/>
        </w:rPr>
        <w:t>（四）主动供述市场监督管理机关尚未掌握的违法行为的， 或者配合市场监督管理机关查处违法行为有立功表现的，包括但 不限于当事人揭发市场监管领域其他重大违法行为或者提供查处 市场监管领域其他重大违法行为的关键线索或者证据，并经查证 </w:t>
      </w:r>
      <w:r>
        <w:rPr>
          <w:spacing w:val="-3"/>
        </w:rPr>
        <w:t>属实的；</w:t>
      </w:r>
    </w:p>
    <w:p>
      <w:pPr>
        <w:pStyle w:val="BodyText"/>
        <w:spacing w:before="4"/>
        <w:ind w:left="737"/>
      </w:pPr>
      <w:r>
        <w:rPr/>
        <w:t>（五）其他依法应当从轻或者减轻行政处罚的。</w:t>
      </w:r>
    </w:p>
    <w:p>
      <w:pPr>
        <w:pStyle w:val="BodyText"/>
        <w:spacing w:line="297" w:lineRule="auto" w:before="139"/>
        <w:ind w:left="106" w:right="265" w:firstLine="631"/>
      </w:pPr>
      <w:r>
        <w:rPr>
          <w:rFonts w:ascii="黑体" w:hAnsi="黑体" w:eastAsia="黑体" w:hint="eastAsia"/>
          <w:spacing w:val="-3"/>
          <w:w w:val="95"/>
        </w:rPr>
        <w:t>第十六条</w:t>
      </w:r>
      <w:r>
        <w:rPr>
          <w:rFonts w:ascii="Lucida Sans Unicode" w:hAnsi="Lucida Sans Unicode" w:eastAsia="Lucida Sans Unicode"/>
          <w:w w:val="95"/>
        </w:rPr>
        <w:t> </w:t>
      </w:r>
      <w:r>
        <w:rPr>
          <w:spacing w:val="-3"/>
          <w:w w:val="95"/>
        </w:rPr>
        <w:t>当事人有下列情形之一，可以依法从轻或者减轻 </w:t>
      </w:r>
      <w:r>
        <w:rPr>
          <w:spacing w:val="-4"/>
        </w:rPr>
        <w:t>行政处罚：</w:t>
      </w:r>
    </w:p>
    <w:p>
      <w:pPr>
        <w:pStyle w:val="BodyText"/>
        <w:spacing w:line="338" w:lineRule="auto" w:before="70"/>
        <w:ind w:left="106" w:right="106" w:firstLine="631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一</w:t>
      </w:r>
      <w:r>
        <w:rPr>
          <w:spacing w:val="-156"/>
          <w:w w:val="95"/>
        </w:rPr>
        <w:t>）</w:t>
      </w:r>
      <w:r>
        <w:rPr>
          <w:spacing w:val="-3"/>
          <w:w w:val="95"/>
        </w:rPr>
        <w:t>尚未完全丧失辨认或者控制自己行为能力的精神病人、 </w:t>
      </w:r>
      <w:r>
        <w:rPr>
          <w:spacing w:val="-5"/>
        </w:rPr>
        <w:t>智力残疾人有违法行为的；</w:t>
      </w:r>
    </w:p>
    <w:p>
      <w:pPr>
        <w:pStyle w:val="BodyText"/>
        <w:spacing w:line="340" w:lineRule="auto" w:before="1"/>
        <w:ind w:left="106" w:right="265" w:firstLine="631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二）积极配合市场监督管理机关调查，如实陈述违法事实 </w:t>
      </w:r>
      <w:r>
        <w:rPr>
          <w:spacing w:val="-5"/>
        </w:rPr>
        <w:t>并主动提供证据材料的；</w:t>
      </w:r>
    </w:p>
    <w:p>
      <w:pPr>
        <w:spacing w:after="0" w:line="340" w:lineRule="auto"/>
        <w:sectPr>
          <w:pgSz w:w="11910" w:h="16840"/>
          <w:pgMar w:header="0" w:footer="1074" w:top="1580" w:bottom="1260" w:left="148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54"/>
        <w:ind w:left="737"/>
      </w:pPr>
      <w:r>
        <w:rPr/>
        <w:t>（三）违法行为轻微，社会危害性较小的；</w:t>
      </w:r>
    </w:p>
    <w:p>
      <w:pPr>
        <w:pStyle w:val="BodyText"/>
        <w:spacing w:before="171"/>
        <w:ind w:left="737"/>
      </w:pPr>
      <w:r>
        <w:rPr/>
        <w:t>（四）在共同违法行为中起次要或者辅助作用的；</w:t>
      </w:r>
    </w:p>
    <w:p>
      <w:pPr>
        <w:pStyle w:val="BodyText"/>
        <w:spacing w:line="338" w:lineRule="auto" w:before="168"/>
        <w:ind w:left="106" w:right="106" w:firstLine="631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五</w:t>
      </w:r>
      <w:r>
        <w:rPr>
          <w:spacing w:val="-156"/>
          <w:w w:val="95"/>
        </w:rPr>
        <w:t>）</w:t>
      </w:r>
      <w:r>
        <w:rPr>
          <w:spacing w:val="-3"/>
          <w:w w:val="95"/>
        </w:rPr>
        <w:t>当事人有充分证据证明不存在主观故意或者重大过失， </w:t>
      </w:r>
      <w:r>
        <w:rPr>
          <w:spacing w:val="-5"/>
        </w:rPr>
        <w:t>但法律、行政法规规定应当给予行政处罚的；</w:t>
      </w:r>
    </w:p>
    <w:p>
      <w:pPr>
        <w:pStyle w:val="BodyText"/>
        <w:spacing w:before="1"/>
        <w:ind w:left="737"/>
      </w:pPr>
      <w:r>
        <w:rPr/>
        <w:t>（六）当事人因残疾或者重大疾病等原因生活确有困难的；</w:t>
      </w:r>
    </w:p>
    <w:p>
      <w:pPr>
        <w:pStyle w:val="BodyText"/>
        <w:spacing w:before="171"/>
        <w:ind w:left="737"/>
      </w:pPr>
      <w:r>
        <w:rPr/>
        <w:t>（七）其他依法可以从轻或者减轻行政处罚的。</w:t>
      </w:r>
    </w:p>
    <w:p>
      <w:pPr>
        <w:pStyle w:val="BodyText"/>
        <w:tabs>
          <w:tab w:pos="2321" w:val="left" w:leader="none"/>
        </w:tabs>
        <w:spacing w:line="338" w:lineRule="auto" w:before="168"/>
        <w:ind w:left="106" w:right="265" w:firstLine="631"/>
      </w:pPr>
      <w:r>
        <w:rPr>
          <w:rFonts w:ascii="黑体" w:eastAsia="黑体" w:hint="eastAsia"/>
          <w:spacing w:val="-3"/>
        </w:rPr>
        <w:t>第</w:t>
      </w:r>
      <w:r>
        <w:rPr>
          <w:rFonts w:ascii="黑体" w:eastAsia="黑体" w:hint="eastAsia"/>
          <w:spacing w:val="-5"/>
        </w:rPr>
        <w:t>十</w:t>
      </w:r>
      <w:r>
        <w:rPr>
          <w:rFonts w:ascii="黑体" w:eastAsia="黑体" w:hint="eastAsia"/>
        </w:rPr>
        <w:t>七条</w:t>
        <w:tab/>
      </w:r>
      <w:r>
        <w:rPr>
          <w:spacing w:val="-3"/>
          <w:w w:val="95"/>
        </w:rPr>
        <w:t>法律、法规、规章规</w:t>
      </w:r>
      <w:r>
        <w:rPr>
          <w:w w:val="95"/>
        </w:rPr>
        <w:t>定</w:t>
      </w:r>
      <w:r>
        <w:rPr>
          <w:spacing w:val="-3"/>
          <w:w w:val="95"/>
        </w:rPr>
        <w:t>从重行政处罚的，应当</w:t>
      </w:r>
      <w:r>
        <w:rPr>
          <w:w w:val="95"/>
        </w:rPr>
        <w:t>依 </w:t>
      </w:r>
      <w:r>
        <w:rPr>
          <w:spacing w:val="-3"/>
        </w:rPr>
        <w:t>法</w:t>
      </w:r>
      <w:r>
        <w:rPr>
          <w:spacing w:val="-5"/>
        </w:rPr>
        <w:t>从</w:t>
      </w:r>
      <w:r>
        <w:rPr>
          <w:spacing w:val="-3"/>
        </w:rPr>
        <w:t>重</w:t>
      </w:r>
      <w:r>
        <w:rPr>
          <w:spacing w:val="-5"/>
        </w:rPr>
        <w:t>行</w:t>
      </w:r>
      <w:r>
        <w:rPr>
          <w:spacing w:val="-3"/>
        </w:rPr>
        <w:t>政处</w:t>
      </w:r>
      <w:r>
        <w:rPr>
          <w:spacing w:val="-5"/>
        </w:rPr>
        <w:t>罚</w:t>
      </w:r>
      <w:r>
        <w:rPr/>
        <w:t>。</w:t>
      </w:r>
    </w:p>
    <w:p>
      <w:pPr>
        <w:pStyle w:val="BodyText"/>
        <w:spacing w:line="464" w:lineRule="exact"/>
        <w:ind w:left="737"/>
      </w:pPr>
      <w:r>
        <w:rPr>
          <w:rFonts w:ascii="黑体" w:hAnsi="黑体" w:eastAsia="黑体" w:hint="eastAsia"/>
          <w:spacing w:val="-5"/>
        </w:rPr>
        <w:t>第十八条</w:t>
      </w:r>
      <w:r>
        <w:rPr>
          <w:rFonts w:ascii="Lucida Sans Unicode" w:hAnsi="Lucida Sans Unicode" w:eastAsia="Lucida Sans Unicode"/>
          <w:spacing w:val="-3"/>
        </w:rPr>
        <w:t> </w:t>
      </w:r>
      <w:r>
        <w:rPr>
          <w:spacing w:val="-17"/>
        </w:rPr>
        <w:t>当事人有下列情形之一，可以依法从重行政处罚：</w:t>
      </w:r>
    </w:p>
    <w:p>
      <w:pPr>
        <w:pStyle w:val="BodyText"/>
        <w:spacing w:line="338" w:lineRule="auto" w:before="118"/>
        <w:ind w:left="106" w:right="265" w:firstLine="631"/>
      </w:pPr>
      <w:r>
        <w:rPr>
          <w:spacing w:val="-3"/>
          <w:w w:val="95"/>
        </w:rPr>
        <w:t>（一）违法行为造成他人人身伤亡、重大财产损失以及产生 </w:t>
      </w:r>
      <w:r>
        <w:rPr>
          <w:spacing w:val="-5"/>
        </w:rPr>
        <w:t>严重社会影响等严重危害后果的；</w:t>
      </w:r>
    </w:p>
    <w:p>
      <w:pPr>
        <w:pStyle w:val="BodyText"/>
        <w:ind w:left="737"/>
      </w:pPr>
      <w:r>
        <w:rPr/>
        <w:t>（二）教唆、胁迫、诱骗他人实施违法行为的；</w:t>
      </w:r>
    </w:p>
    <w:p>
      <w:pPr>
        <w:pStyle w:val="BodyText"/>
        <w:spacing w:line="340" w:lineRule="auto" w:before="169"/>
        <w:ind w:left="106" w:right="265" w:firstLine="631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三）因同一性质的违法行为受过刑事处罚，或者一年内因 </w:t>
      </w:r>
      <w:r>
        <w:rPr>
          <w:spacing w:val="-5"/>
        </w:rPr>
        <w:t>同一性质的违法行为受过行政处罚的；</w:t>
      </w:r>
    </w:p>
    <w:p>
      <w:pPr>
        <w:pStyle w:val="BodyText"/>
        <w:spacing w:line="338" w:lineRule="auto"/>
        <w:ind w:left="106" w:right="267" w:firstLine="631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四）阻碍或者拒不配合行政执法人员依法执行职务或者对 </w:t>
      </w:r>
      <w:r>
        <w:rPr>
          <w:spacing w:val="-5"/>
        </w:rPr>
        <w:t>行政执法人员、举报人、证人等打击报复的；</w:t>
      </w:r>
    </w:p>
    <w:p>
      <w:pPr>
        <w:pStyle w:val="BodyText"/>
        <w:spacing w:line="340" w:lineRule="auto"/>
        <w:ind w:left="106" w:right="266" w:firstLine="631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五）隐藏、转移、损毁、使用、处置市场监督管理机关依 </w:t>
      </w:r>
      <w:r>
        <w:rPr>
          <w:spacing w:val="-5"/>
        </w:rPr>
        <w:t>法查封、扣押的财物或者先行登记保存的证据的；</w:t>
      </w:r>
    </w:p>
    <w:p>
      <w:pPr>
        <w:pStyle w:val="BodyText"/>
        <w:spacing w:line="405" w:lineRule="exact"/>
        <w:ind w:left="737"/>
      </w:pPr>
      <w:r>
        <w:rPr/>
        <w:t>（六）伪造、隐匿、毁灭证据的；</w:t>
      </w:r>
    </w:p>
    <w:p>
      <w:pPr>
        <w:pStyle w:val="BodyText"/>
        <w:spacing w:before="164"/>
        <w:ind w:left="737"/>
      </w:pPr>
      <w:r>
        <w:rPr/>
        <w:t>（七）其他依法可以从重行政处罚的。</w:t>
      </w:r>
    </w:p>
    <w:p>
      <w:pPr>
        <w:pStyle w:val="BodyText"/>
        <w:spacing w:line="340" w:lineRule="auto" w:before="168"/>
        <w:ind w:left="106" w:right="265" w:firstLine="631"/>
      </w:pPr>
      <w:r>
        <w:rPr>
          <w:spacing w:val="8"/>
          <w:w w:val="95"/>
        </w:rPr>
        <w:t>当事人因前款第四项至第六项所涉违法行为已被行政处罚 </w:t>
      </w:r>
      <w:r>
        <w:rPr>
          <w:spacing w:val="-5"/>
        </w:rPr>
        <w:t>的，该情形不再作为从重行政处罚情节。</w:t>
      </w:r>
    </w:p>
    <w:p>
      <w:pPr>
        <w:spacing w:after="0" w:line="340" w:lineRule="auto"/>
        <w:sectPr>
          <w:pgSz w:w="11910" w:h="16840"/>
          <w:pgMar w:header="0" w:footer="1074" w:top="1580" w:bottom="1260" w:left="148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2340" w:val="left" w:leader="none"/>
        </w:tabs>
        <w:spacing w:line="340" w:lineRule="auto" w:before="54"/>
        <w:ind w:left="106" w:right="277" w:firstLine="631"/>
      </w:pPr>
      <w:r>
        <w:rPr>
          <w:rFonts w:ascii="黑体" w:eastAsia="黑体" w:hint="eastAsia"/>
        </w:rPr>
        <w:t>第十九条</w:t>
        <w:tab/>
      </w:r>
      <w:r>
        <w:rPr>
          <w:spacing w:val="12"/>
          <w:w w:val="95"/>
        </w:rPr>
        <w:t>法</w:t>
      </w:r>
      <w:r>
        <w:rPr>
          <w:spacing w:val="14"/>
          <w:w w:val="95"/>
        </w:rPr>
        <w:t>律</w:t>
      </w:r>
      <w:r>
        <w:rPr>
          <w:spacing w:val="12"/>
          <w:w w:val="95"/>
        </w:rPr>
        <w:t>规定</w:t>
      </w:r>
      <w:r>
        <w:rPr>
          <w:spacing w:val="14"/>
          <w:w w:val="95"/>
        </w:rPr>
        <w:t>加</w:t>
      </w:r>
      <w:r>
        <w:rPr>
          <w:spacing w:val="12"/>
          <w:w w:val="95"/>
        </w:rPr>
        <w:t>重行</w:t>
      </w:r>
      <w:r>
        <w:rPr>
          <w:spacing w:val="14"/>
          <w:w w:val="95"/>
        </w:rPr>
        <w:t>政</w:t>
      </w:r>
      <w:r>
        <w:rPr>
          <w:spacing w:val="12"/>
          <w:w w:val="95"/>
        </w:rPr>
        <w:t>处罚</w:t>
      </w:r>
      <w:r>
        <w:rPr>
          <w:spacing w:val="14"/>
          <w:w w:val="95"/>
        </w:rPr>
        <w:t>的</w:t>
      </w:r>
      <w:r>
        <w:rPr>
          <w:spacing w:val="12"/>
          <w:w w:val="95"/>
        </w:rPr>
        <w:t>，应当</w:t>
      </w:r>
      <w:r>
        <w:rPr>
          <w:spacing w:val="14"/>
          <w:w w:val="95"/>
        </w:rPr>
        <w:t>依</w:t>
      </w:r>
      <w:r>
        <w:rPr>
          <w:spacing w:val="12"/>
          <w:w w:val="95"/>
        </w:rPr>
        <w:t>法加</w:t>
      </w:r>
      <w:r>
        <w:rPr>
          <w:spacing w:val="14"/>
          <w:w w:val="95"/>
        </w:rPr>
        <w:t>重</w:t>
      </w:r>
      <w:r>
        <w:rPr>
          <w:spacing w:val="12"/>
          <w:w w:val="95"/>
        </w:rPr>
        <w:t>行</w:t>
      </w:r>
      <w:r>
        <w:rPr>
          <w:spacing w:val="-12"/>
          <w:w w:val="95"/>
        </w:rPr>
        <w:t>政</w:t>
      </w:r>
      <w:r>
        <w:rPr>
          <w:spacing w:val="9"/>
        </w:rPr>
        <w:t>处</w:t>
      </w:r>
      <w:r>
        <w:rPr>
          <w:spacing w:val="7"/>
        </w:rPr>
        <w:t>罚</w:t>
      </w:r>
      <w:r>
        <w:rPr/>
        <w:t>。</w:t>
      </w:r>
    </w:p>
    <w:p>
      <w:pPr>
        <w:pStyle w:val="BodyText"/>
        <w:spacing w:line="456" w:lineRule="exact"/>
        <w:ind w:left="737"/>
      </w:pPr>
      <w:r>
        <w:rPr>
          <w:rFonts w:ascii="黑体" w:hAnsi="黑体" w:eastAsia="黑体" w:hint="eastAsia"/>
        </w:rPr>
        <w:t>第二十条</w:t>
      </w:r>
      <w:r>
        <w:rPr>
          <w:rFonts w:ascii="Lucida Sans Unicode" w:hAnsi="Lucida Sans Unicode" w:eastAsia="Lucida Sans Unicode"/>
        </w:rPr>
        <w:t> </w:t>
      </w:r>
      <w:r>
        <w:rPr/>
        <w:t>当事人同时具有两个或者两个以上应当从轻行政</w:t>
      </w:r>
    </w:p>
    <w:p>
      <w:pPr>
        <w:pStyle w:val="BodyText"/>
        <w:spacing w:line="338" w:lineRule="auto" w:before="118"/>
        <w:ind w:left="106" w:right="262"/>
      </w:pPr>
      <w:r>
        <w:rPr>
          <w:spacing w:val="-3"/>
          <w:w w:val="95"/>
        </w:rPr>
        <w:t>处罚情形、且不具有从重行政处罚情形的，应当按照法定行政处 </w:t>
      </w:r>
      <w:r>
        <w:rPr>
          <w:spacing w:val="-5"/>
        </w:rPr>
        <w:t>罚种类和行政处罚幅度的最低限度实施行政处罚。</w:t>
      </w:r>
    </w:p>
    <w:p>
      <w:pPr>
        <w:pStyle w:val="BodyText"/>
        <w:spacing w:line="464" w:lineRule="exact"/>
        <w:ind w:left="737"/>
      </w:pPr>
      <w:r>
        <w:rPr>
          <w:rFonts w:ascii="黑体" w:hAnsi="黑体" w:eastAsia="黑体" w:hint="eastAsia"/>
        </w:rPr>
        <w:t>第二十一条</w:t>
      </w:r>
      <w:r>
        <w:rPr>
          <w:rFonts w:ascii="Lucida Sans Unicode" w:hAnsi="Lucida Sans Unicode" w:eastAsia="Lucida Sans Unicode"/>
        </w:rPr>
        <w:t> </w:t>
      </w:r>
      <w:r>
        <w:rPr/>
        <w:t>当事人同时具有两个或者两个以上应当从重行</w:t>
      </w:r>
    </w:p>
    <w:p>
      <w:pPr>
        <w:pStyle w:val="BodyText"/>
        <w:spacing w:line="338" w:lineRule="auto" w:before="117"/>
        <w:ind w:left="106" w:right="262"/>
      </w:pPr>
      <w:r>
        <w:rPr>
          <w:spacing w:val="-3"/>
          <w:w w:val="95"/>
        </w:rPr>
        <w:t>政处罚情形、且不具有从轻或者减轻行政处罚情形的，应当按照 </w:t>
      </w:r>
      <w:r>
        <w:rPr>
          <w:spacing w:val="-5"/>
        </w:rPr>
        <w:t>法定行政处罚种类和行政处罚幅度的最高限度实施行政处罚。</w:t>
      </w:r>
    </w:p>
    <w:p>
      <w:pPr>
        <w:pStyle w:val="BodyText"/>
        <w:tabs>
          <w:tab w:pos="2638" w:val="left" w:leader="none"/>
        </w:tabs>
        <w:spacing w:line="331" w:lineRule="auto" w:before="1"/>
        <w:ind w:left="106" w:right="262" w:firstLine="631"/>
        <w:jc w:val="right"/>
      </w:pPr>
      <w:r>
        <w:rPr>
          <w:rFonts w:ascii="黑体" w:hAnsi="黑体" w:eastAsia="黑体" w:hint="eastAsia"/>
          <w:spacing w:val="-5"/>
        </w:rPr>
        <w:t>第</w:t>
      </w:r>
      <w:r>
        <w:rPr>
          <w:rFonts w:ascii="黑体" w:hAnsi="黑体" w:eastAsia="黑体" w:hint="eastAsia"/>
          <w:spacing w:val="-3"/>
        </w:rPr>
        <w:t>二</w:t>
      </w:r>
      <w:r>
        <w:rPr>
          <w:rFonts w:ascii="黑体" w:hAnsi="黑体" w:eastAsia="黑体" w:hint="eastAsia"/>
        </w:rPr>
        <w:t>十</w:t>
      </w:r>
      <w:r>
        <w:rPr>
          <w:rFonts w:ascii="黑体" w:hAnsi="黑体" w:eastAsia="黑体" w:hint="eastAsia"/>
          <w:spacing w:val="-3"/>
        </w:rPr>
        <w:t>二</w:t>
      </w:r>
      <w:r>
        <w:rPr>
          <w:rFonts w:ascii="黑体" w:hAnsi="黑体" w:eastAsia="黑体" w:hint="eastAsia"/>
        </w:rPr>
        <w:t>条</w:t>
        <w:tab/>
      </w:r>
      <w:r>
        <w:rPr>
          <w:spacing w:val="-3"/>
          <w:w w:val="95"/>
        </w:rPr>
        <w:t>当事人既有从</w:t>
      </w:r>
      <w:r>
        <w:rPr>
          <w:w w:val="95"/>
        </w:rPr>
        <w:t>轻</w:t>
      </w:r>
      <w:r>
        <w:rPr>
          <w:spacing w:val="-3"/>
          <w:w w:val="95"/>
        </w:rPr>
        <w:t>或者减轻行政处罚情形，</w:t>
      </w:r>
      <w:r>
        <w:rPr>
          <w:w w:val="95"/>
        </w:rPr>
        <w:t>又有</w:t>
      </w:r>
      <w:r>
        <w:rPr>
          <w:spacing w:val="-3"/>
          <w:w w:val="95"/>
        </w:rPr>
        <w:t>从</w:t>
      </w:r>
      <w:r>
        <w:rPr>
          <w:spacing w:val="-5"/>
          <w:w w:val="95"/>
        </w:rPr>
        <w:t>重</w:t>
      </w:r>
      <w:r>
        <w:rPr>
          <w:spacing w:val="-3"/>
          <w:w w:val="95"/>
        </w:rPr>
        <w:t>行</w:t>
      </w:r>
      <w:r>
        <w:rPr>
          <w:spacing w:val="-5"/>
          <w:w w:val="95"/>
        </w:rPr>
        <w:t>政</w:t>
      </w:r>
      <w:r>
        <w:rPr>
          <w:spacing w:val="-3"/>
          <w:w w:val="95"/>
        </w:rPr>
        <w:t>处罚</w:t>
      </w:r>
      <w:r>
        <w:rPr>
          <w:spacing w:val="-5"/>
          <w:w w:val="95"/>
        </w:rPr>
        <w:t>情</w:t>
      </w:r>
      <w:r>
        <w:rPr>
          <w:spacing w:val="-3"/>
          <w:w w:val="95"/>
        </w:rPr>
        <w:t>形的</w:t>
      </w:r>
      <w:r>
        <w:rPr>
          <w:spacing w:val="-5"/>
          <w:w w:val="95"/>
        </w:rPr>
        <w:t>，</w:t>
      </w:r>
      <w:r>
        <w:rPr>
          <w:spacing w:val="-3"/>
          <w:w w:val="95"/>
        </w:rPr>
        <w:t>应</w:t>
      </w:r>
      <w:r>
        <w:rPr>
          <w:spacing w:val="-5"/>
          <w:w w:val="95"/>
        </w:rPr>
        <w:t>当</w:t>
      </w:r>
      <w:r>
        <w:rPr>
          <w:spacing w:val="-3"/>
          <w:w w:val="95"/>
        </w:rPr>
        <w:t>结合</w:t>
      </w:r>
      <w:r>
        <w:rPr>
          <w:spacing w:val="-5"/>
          <w:w w:val="95"/>
        </w:rPr>
        <w:t>案</w:t>
      </w:r>
      <w:r>
        <w:rPr>
          <w:spacing w:val="-3"/>
          <w:w w:val="95"/>
        </w:rPr>
        <w:t>件情</w:t>
      </w:r>
      <w:r>
        <w:rPr>
          <w:spacing w:val="-5"/>
          <w:w w:val="95"/>
        </w:rPr>
        <w:t>况</w:t>
      </w:r>
      <w:r>
        <w:rPr>
          <w:spacing w:val="-3"/>
          <w:w w:val="95"/>
        </w:rPr>
        <w:t>综</w:t>
      </w:r>
      <w:r>
        <w:rPr>
          <w:spacing w:val="-5"/>
          <w:w w:val="95"/>
        </w:rPr>
        <w:t>合</w:t>
      </w:r>
      <w:r>
        <w:rPr>
          <w:spacing w:val="-3"/>
          <w:w w:val="95"/>
        </w:rPr>
        <w:t>裁量后</w:t>
      </w:r>
      <w:r>
        <w:rPr>
          <w:spacing w:val="-5"/>
          <w:w w:val="95"/>
        </w:rPr>
        <w:t>作</w:t>
      </w:r>
      <w:r>
        <w:rPr>
          <w:spacing w:val="-3"/>
          <w:w w:val="95"/>
        </w:rPr>
        <w:t>出</w:t>
      </w:r>
      <w:r>
        <w:rPr>
          <w:spacing w:val="-5"/>
          <w:w w:val="95"/>
        </w:rPr>
        <w:t>决</w:t>
      </w:r>
      <w:r>
        <w:rPr>
          <w:spacing w:val="-3"/>
          <w:w w:val="95"/>
        </w:rPr>
        <w:t>定</w:t>
      </w:r>
      <w:r>
        <w:rPr>
          <w:w w:val="95"/>
        </w:rPr>
        <w:t>。 </w:t>
      </w:r>
      <w:r>
        <w:rPr>
          <w:rFonts w:ascii="黑体" w:hAnsi="黑体" w:eastAsia="黑体" w:hint="eastAsia"/>
          <w:spacing w:val="-5"/>
          <w:w w:val="95"/>
        </w:rPr>
        <w:t>第</w:t>
      </w:r>
      <w:r>
        <w:rPr>
          <w:rFonts w:ascii="黑体" w:hAnsi="黑体" w:eastAsia="黑体" w:hint="eastAsia"/>
          <w:spacing w:val="-3"/>
          <w:w w:val="95"/>
        </w:rPr>
        <w:t>二十</w:t>
      </w:r>
      <w:r>
        <w:rPr>
          <w:rFonts w:ascii="黑体" w:hAnsi="黑体" w:eastAsia="黑体" w:hint="eastAsia"/>
          <w:w w:val="95"/>
        </w:rPr>
        <w:t>三</w:t>
      </w:r>
      <w:r>
        <w:rPr>
          <w:rFonts w:ascii="黑体" w:hAnsi="黑体" w:eastAsia="黑体" w:hint="eastAsia"/>
          <w:spacing w:val="-3"/>
          <w:w w:val="95"/>
        </w:rPr>
        <w:t>条</w:t>
      </w:r>
      <w:r>
        <w:rPr>
          <w:rFonts w:ascii="Lucida Sans Unicode" w:hAnsi="Lucida Sans Unicode" w:eastAsia="Lucida Sans Unicode"/>
          <w:w w:val="95"/>
        </w:rPr>
        <w:t> </w:t>
      </w:r>
      <w:r>
        <w:rPr>
          <w:spacing w:val="-3"/>
          <w:w w:val="95"/>
        </w:rPr>
        <w:t>法律、法规、规章规定对违法行为有多个行</w:t>
      </w:r>
      <w:r>
        <w:rPr>
          <w:w w:val="95"/>
        </w:rPr>
        <w:t>政</w:t>
      </w:r>
    </w:p>
    <w:p>
      <w:pPr>
        <w:pStyle w:val="BodyText"/>
        <w:spacing w:line="337" w:lineRule="exact"/>
        <w:ind w:right="262"/>
        <w:jc w:val="right"/>
      </w:pPr>
      <w:r>
        <w:rPr>
          <w:spacing w:val="-3"/>
          <w:w w:val="95"/>
        </w:rPr>
        <w:t>处罚种类且规定可以单处或者可以并处的，可以选择适用单处或</w:t>
      </w:r>
    </w:p>
    <w:p>
      <w:pPr>
        <w:pStyle w:val="BodyText"/>
        <w:spacing w:line="340" w:lineRule="auto" w:before="168"/>
        <w:ind w:left="106" w:right="265"/>
      </w:pPr>
      <w:r>
        <w:rPr>
          <w:spacing w:val="-3"/>
          <w:w w:val="95"/>
        </w:rPr>
        <w:t>者并处；规定应当并处的，不得选择适用单处，但减轻行政处罚 </w:t>
      </w:r>
      <w:r>
        <w:rPr>
          <w:spacing w:val="-3"/>
        </w:rPr>
        <w:t>的除外。</w:t>
      </w:r>
    </w:p>
    <w:p>
      <w:pPr>
        <w:pStyle w:val="BodyText"/>
        <w:spacing w:line="456" w:lineRule="exact"/>
        <w:ind w:left="737"/>
      </w:pPr>
      <w:r>
        <w:rPr>
          <w:rFonts w:ascii="黑体" w:hAnsi="黑体" w:eastAsia="黑体" w:hint="eastAsia"/>
        </w:rPr>
        <w:t>第二十四条</w:t>
      </w:r>
      <w:r>
        <w:rPr>
          <w:rFonts w:ascii="Lucida Sans Unicode" w:hAnsi="Lucida Sans Unicode" w:eastAsia="Lucida Sans Unicode"/>
        </w:rPr>
        <w:t> </w:t>
      </w:r>
      <w:r>
        <w:rPr/>
        <w:t>市场监督管理机关在调查取证时应当客观全</w:t>
      </w:r>
    </w:p>
    <w:p>
      <w:pPr>
        <w:pStyle w:val="BodyText"/>
        <w:spacing w:line="338" w:lineRule="auto" w:before="118"/>
        <w:ind w:left="106" w:right="262"/>
        <w:jc w:val="both"/>
      </w:pPr>
      <w:r>
        <w:rPr>
          <w:spacing w:val="-3"/>
          <w:w w:val="95"/>
        </w:rPr>
        <w:t>面，行政处罚裁量时对适用不予行政处罚、减轻行政处罚、从轻 行政处罚、一般行政处罚、从重行政处罚的情形，应当有相应的 </w:t>
      </w:r>
      <w:r>
        <w:rPr>
          <w:spacing w:val="-5"/>
        </w:rPr>
        <w:t>证据予以支持。</w:t>
      </w:r>
    </w:p>
    <w:p>
      <w:pPr>
        <w:pStyle w:val="BodyText"/>
        <w:spacing w:line="338" w:lineRule="auto" w:before="3"/>
        <w:ind w:left="106" w:right="265" w:firstLine="631"/>
        <w:jc w:val="both"/>
      </w:pPr>
      <w:r>
        <w:rPr>
          <w:spacing w:val="-3"/>
          <w:w w:val="95"/>
        </w:rPr>
        <w:t>市场监督管理机关案件承办机构应当在案件调查终结报告中 </w:t>
      </w:r>
      <w:r>
        <w:rPr>
          <w:spacing w:val="-4"/>
          <w:w w:val="95"/>
        </w:rPr>
        <w:t>说明案件来源、调查经过、调查认定的事实、证据、案件性质、 </w:t>
      </w:r>
      <w:r>
        <w:rPr>
          <w:spacing w:val="-5"/>
        </w:rPr>
        <w:t>自由裁量理由等情况，提出行政处罚建议。</w:t>
      </w:r>
    </w:p>
    <w:p>
      <w:pPr>
        <w:pStyle w:val="BodyText"/>
        <w:spacing w:line="464" w:lineRule="exact"/>
        <w:ind w:left="737"/>
      </w:pPr>
      <w:r>
        <w:rPr>
          <w:rFonts w:ascii="黑体" w:hAnsi="黑体" w:eastAsia="黑体" w:hint="eastAsia"/>
        </w:rPr>
        <w:t>第二十五条</w:t>
      </w:r>
      <w:r>
        <w:rPr>
          <w:rFonts w:ascii="Lucida Sans Unicode" w:hAnsi="Lucida Sans Unicode" w:eastAsia="Lucida Sans Unicode"/>
        </w:rPr>
        <w:t> </w:t>
      </w:r>
      <w:r>
        <w:rPr/>
        <w:t>行政处罚决定书中应当载明作出行政处罚决定</w:t>
      </w:r>
    </w:p>
    <w:p>
      <w:pPr>
        <w:spacing w:after="0" w:line="464" w:lineRule="exact"/>
        <w:sectPr>
          <w:pgSz w:w="11910" w:h="16840"/>
          <w:pgMar w:header="0" w:footer="1074" w:top="1580" w:bottom="1260" w:left="148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340" w:lineRule="auto" w:before="54"/>
        <w:ind w:left="106" w:right="265"/>
      </w:pPr>
      <w:r>
        <w:rPr>
          <w:spacing w:val="-3"/>
          <w:w w:val="95"/>
        </w:rPr>
        <w:t>的事实、证据、处罚依据、裁量权适用情况以及对当事人的陈述 </w:t>
      </w:r>
      <w:r>
        <w:rPr>
          <w:spacing w:val="-5"/>
        </w:rPr>
        <w:t>申辩、听证意见复核及采纳情况等内容。</w:t>
      </w:r>
    </w:p>
    <w:p>
      <w:pPr>
        <w:pStyle w:val="BodyText"/>
        <w:spacing w:line="338" w:lineRule="auto"/>
        <w:ind w:left="106" w:right="267" w:firstLine="631"/>
      </w:pPr>
      <w:r>
        <w:rPr>
          <w:spacing w:val="8"/>
          <w:w w:val="95"/>
        </w:rPr>
        <w:t>行政处罚裁量权适用规则可以作为行政处罚决定说理的依 </w:t>
      </w:r>
      <w:r>
        <w:rPr>
          <w:spacing w:val="-5"/>
        </w:rPr>
        <w:t>据，但不得直接作为行政处罚的法律依据。</w:t>
      </w:r>
    </w:p>
    <w:p>
      <w:pPr>
        <w:pStyle w:val="BodyText"/>
        <w:spacing w:line="464" w:lineRule="exact"/>
        <w:ind w:left="737"/>
      </w:pPr>
      <w:r>
        <w:rPr>
          <w:rFonts w:ascii="黑体" w:hAnsi="黑体" w:eastAsia="黑体" w:hint="eastAsia"/>
        </w:rPr>
        <w:t>第二十六条</w:t>
      </w:r>
      <w:r>
        <w:rPr>
          <w:rFonts w:ascii="Lucida Sans Unicode" w:hAnsi="Lucida Sans Unicode" w:eastAsia="Lucida Sans Unicode"/>
        </w:rPr>
        <w:t> </w:t>
      </w:r>
      <w:r>
        <w:rPr/>
        <w:t>各级市场监督管理机关应当建立健全规范执法</w:t>
      </w:r>
    </w:p>
    <w:p>
      <w:pPr>
        <w:pStyle w:val="BodyText"/>
        <w:spacing w:line="338" w:lineRule="auto" w:before="113"/>
        <w:ind w:left="106" w:right="266"/>
        <w:jc w:val="both"/>
      </w:pPr>
      <w:r>
        <w:rPr>
          <w:spacing w:val="-3"/>
          <w:w w:val="95"/>
        </w:rPr>
        <w:t>监督机制。通过执法监督检查、案卷评查等方式，加强行政处罚 </w:t>
      </w:r>
      <w:r>
        <w:rPr>
          <w:spacing w:val="-4"/>
          <w:w w:val="95"/>
        </w:rPr>
        <w:t>裁量权行使的执法监督，发现行政处罚裁量违法或者不当的，应 </w:t>
      </w:r>
      <w:r>
        <w:rPr>
          <w:spacing w:val="-5"/>
        </w:rPr>
        <w:t>当及时予以纠正。</w:t>
      </w:r>
    </w:p>
    <w:p>
      <w:pPr>
        <w:pStyle w:val="BodyText"/>
        <w:spacing w:line="340" w:lineRule="auto" w:before="1"/>
        <w:ind w:left="106" w:right="279" w:firstLine="631"/>
        <w:jc w:val="both"/>
      </w:pPr>
      <w:r>
        <w:rPr>
          <w:rFonts w:ascii="黑体" w:eastAsia="黑体" w:hint="eastAsia"/>
        </w:rPr>
        <w:t>第二十七条 </w:t>
      </w:r>
      <w:r>
        <w:rPr/>
        <w:t>全省市场监督管理行政处罚裁量权基准另行制定。</w:t>
      </w:r>
    </w:p>
    <w:p>
      <w:pPr>
        <w:pStyle w:val="BodyText"/>
        <w:spacing w:line="456" w:lineRule="exact"/>
        <w:ind w:left="737"/>
        <w:jc w:val="both"/>
      </w:pPr>
      <w:r>
        <w:rPr>
          <w:rFonts w:ascii="黑体" w:hAnsi="黑体" w:eastAsia="黑体" w:hint="eastAsia"/>
          <w:spacing w:val="-5"/>
        </w:rPr>
        <w:t>第二十八条</w:t>
      </w:r>
      <w:r>
        <w:rPr>
          <w:rFonts w:ascii="Lucida Sans Unicode" w:hAnsi="Lucida Sans Unicode" w:eastAsia="Lucida Sans Unicode"/>
          <w:spacing w:val="-3"/>
        </w:rPr>
        <w:t> </w:t>
      </w:r>
      <w:r>
        <w:rPr>
          <w:spacing w:val="-17"/>
        </w:rPr>
        <w:t>本规则有效期为 </w:t>
      </w:r>
      <w:r>
        <w:rPr/>
        <w:t>5</w:t>
      </w:r>
      <w:r>
        <w:rPr>
          <w:spacing w:val="-14"/>
        </w:rPr>
        <w:t> 年，自印发之日起施行。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line style="position:absolute;mso-position-horizontal-relative:page;mso-position-vertical-relative:paragraph;z-index:-251655168;mso-wrap-distance-left:0;mso-wrap-distance-right:0" from="81.449997pt,9.764774pt" to="519.549997pt,9.764774pt" stroked="true" strokeweight=".75pt" strokecolor="#000000">
            <v:stroke dashstyle="solid"/>
            <w10:wrap type="topAndBottom"/>
          </v:line>
        </w:pict>
      </w:r>
    </w:p>
    <w:p>
      <w:pPr>
        <w:tabs>
          <w:tab w:pos="5938" w:val="left" w:leader="none"/>
        </w:tabs>
        <w:spacing w:before="120" w:after="128"/>
        <w:ind w:left="420" w:right="0" w:firstLine="0"/>
        <w:jc w:val="left"/>
        <w:rPr>
          <w:sz w:val="28"/>
        </w:rPr>
      </w:pPr>
      <w:r>
        <w:rPr>
          <w:spacing w:val="-5"/>
          <w:sz w:val="28"/>
        </w:rPr>
        <w:t>河北省市场监督管理局</w:t>
      </w:r>
      <w:r>
        <w:rPr>
          <w:spacing w:val="-8"/>
          <w:sz w:val="28"/>
        </w:rPr>
        <w:t>办</w:t>
      </w:r>
      <w:r>
        <w:rPr>
          <w:spacing w:val="-5"/>
          <w:sz w:val="28"/>
        </w:rPr>
        <w:t>公</w:t>
      </w:r>
      <w:r>
        <w:rPr>
          <w:sz w:val="28"/>
        </w:rPr>
        <w:t>室</w:t>
        <w:tab/>
        <w:t>2022</w:t>
      </w:r>
      <w:r>
        <w:rPr>
          <w:spacing w:val="-103"/>
          <w:sz w:val="28"/>
        </w:rPr>
        <w:t> </w:t>
      </w:r>
      <w:r>
        <w:rPr>
          <w:spacing w:val="38"/>
          <w:sz w:val="28"/>
        </w:rPr>
        <w:t>年</w:t>
      </w:r>
      <w:r>
        <w:rPr>
          <w:sz w:val="28"/>
        </w:rPr>
        <w:t>12</w:t>
      </w:r>
      <w:r>
        <w:rPr>
          <w:spacing w:val="-103"/>
          <w:sz w:val="28"/>
        </w:rPr>
        <w:t> </w:t>
      </w:r>
      <w:r>
        <w:rPr>
          <w:spacing w:val="38"/>
          <w:sz w:val="28"/>
        </w:rPr>
        <w:t>月</w:t>
      </w:r>
      <w:r>
        <w:rPr>
          <w:sz w:val="28"/>
        </w:rPr>
        <w:t>28</w:t>
      </w:r>
      <w:r>
        <w:rPr>
          <w:spacing w:val="-100"/>
          <w:sz w:val="28"/>
        </w:rPr>
        <w:t> </w:t>
      </w:r>
      <w:r>
        <w:rPr>
          <w:spacing w:val="-5"/>
          <w:sz w:val="28"/>
        </w:rPr>
        <w:t>日印</w:t>
      </w:r>
      <w:r>
        <w:rPr>
          <w:sz w:val="28"/>
        </w:rPr>
        <w:t>发</w:t>
      </w: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38.1pt;height:.75pt;mso-position-horizontal-relative:char;mso-position-vertical-relative:line" coordorigin="0,0" coordsize="8762,15">
            <v:line style="position:absolute" from="0,8" to="8762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sectPr>
      <w:footerReference w:type="even" r:id="rId9"/>
      <w:pgSz w:w="11910" w:h="16840"/>
      <w:pgMar w:footer="1074" w:header="0" w:top="1580" w:bottom="1260" w:left="1480" w:right="1180"/>
      <w:pgNumType w:start="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_GB2312">
    <w:altName w:val="仿宋_GB2312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auto"/>
    <w:pitch w:val="variable"/>
  </w:font>
  <w:font w:name="Lucida Sans Unicode">
    <w:altName w:val="Lucida Sans Unicode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5.600006pt;margin-top:777.175781pt;width:37pt;height:16.05pt;mso-position-horizontal-relative:page;mso-position-vertical-relative:page;z-index:-251884544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宋体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宋体"/>
                    <w:sz w:val="2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.320pt;margin-top:777.175781pt;width:37.15pt;height:16.05pt;mso-position-horizontal-relative:page;mso-position-vertical-relative:page;z-index:-251883520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宋体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宋体"/>
                    <w:sz w:val="2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.320pt;margin-top:777.175781pt;width:44.1pt;height:16.05pt;mso-position-horizontal-relative:page;mso-position-vertical-relative:page;z-index:-251882496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宋体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宋体"/>
                    <w:sz w:val="2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1"/>
      <w:ind w:left="195" w:right="370" w:hanging="5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高振川</dc:creator>
  <dc:title>河北省市场监督管理局文件</dc:title>
  <dcterms:created xsi:type="dcterms:W3CDTF">2023-01-05T03:20:57Z</dcterms:created>
  <dcterms:modified xsi:type="dcterms:W3CDTF">2023-01-05T03:20:57Z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WPS Office</vt:lpwstr>
  </property>
  <property fmtid="{D5CDD505-2E9C-101B-9397-08002B2CF9AE}" pid="4" name="LastSaved">
    <vt:filetime>2023-01-05T00:00:00Z</vt:filetime>
  </property>
</Properties>
</file>